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21.png" ContentType="image/png"/>
  <Override PartName="/word/media/rId54.png" ContentType="image/png"/>
  <Override PartName="/word/media/rId39.png" ContentType="image/png"/>
  <Override PartName="/word/media/rId35.png" ContentType="image/png"/>
  <Override PartName="/word/media/rId31.png" ContentType="image/png"/>
  <Override PartName="/word/media/rId16.jpg" ContentType="image/jpeg"/>
  <Override PartName="/word/media/rId12.jpg" ContentType="image/jpeg"/>
  <Override PartName="/word/media/rId70.jpg" ContentType="image/jpeg"/>
  <Override PartName="/word/media/rId76.png" ContentType="image/png"/>
  <Override PartName="/word/media/rId89.png" ContentType="image/png"/>
  <Override PartName="/word/media/rId45.png" ContentType="image/png"/>
  <Override PartName="/word/media/rId50.png" ContentType="image/png"/>
  <Override PartName="/word/media/rId57.png" ContentType="image/png"/>
  <Override PartName="/word/media/rId62.png" ContentType="image/png"/>
  <Override PartName="/word/media/rId6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 Non-Parametric T-Tests</w:t>
      </w:r>
    </w:p>
    <w:p>
      <w:pPr>
        <w:pStyle w:val="Subtitle"/>
      </w:pPr>
      <w:r>
        <w:t xml:space="preserve">Rank-based tests</w:t>
      </w:r>
    </w:p>
    <w:p>
      <w:pPr>
        <w:pStyle w:val="Author"/>
      </w:pPr>
      <w:r>
        <w:t xml:space="preserve">Bill Perry</w:t>
      </w:r>
    </w:p>
    <w:bookmarkStart w:id="15" w:name="where-we-left-off"/>
    <w:p>
      <w:pPr>
        <w:pStyle w:val="Heading2"/>
      </w:pPr>
      <w:r>
        <w:t xml:space="preserve">Where We Left Off</w:t>
      </w:r>
    </w:p>
    <w:p>
      <w:pPr>
        <w:pStyle w:val="FirstParagraph"/>
      </w:pPr>
      <w:r>
        <w:t xml:space="preserve">A brief review:</w:t>
      </w:r>
    </w:p>
    <w:p>
      <w:pPr>
        <w:pStyle w:val="Compact"/>
        <w:numPr>
          <w:ilvl w:val="0"/>
          <w:numId w:val="1001"/>
        </w:numPr>
      </w:pPr>
      <w:r>
        <w:t xml:space="preserve">Hypotheses</w:t>
      </w:r>
    </w:p>
    <w:p>
      <w:pPr>
        <w:pStyle w:val="Compact"/>
        <w:numPr>
          <w:ilvl w:val="0"/>
          <w:numId w:val="1001"/>
        </w:numPr>
      </w:pPr>
      <w:r>
        <w:t xml:space="preserve">One- and two-sided t-tests</w:t>
      </w:r>
    </w:p>
    <w:p>
      <w:pPr>
        <w:pStyle w:val="Compact"/>
        <w:numPr>
          <w:ilvl w:val="0"/>
          <w:numId w:val="1001"/>
        </w:numPr>
      </w:pPr>
      <w:r>
        <w:t xml:space="preserve">Power — what it is and why we talk about it</w:t>
      </w:r>
    </w:p>
    <w:p>
      <w:pPr>
        <w:pStyle w:val="Compact"/>
        <w:numPr>
          <w:ilvl w:val="0"/>
          <w:numId w:val="1001"/>
        </w:numPr>
      </w:pPr>
      <w:r>
        <w:rPr>
          <w:b/>
          <w:bCs/>
        </w:rPr>
        <w:t xml:space="preserve">Assumptions of parametric tests</w:t>
      </w:r>
    </w:p>
    <w:p>
      <w:pPr>
        <w:pStyle w:val="Compact"/>
        <w:numPr>
          <w:ilvl w:val="0"/>
          <w:numId w:val="1001"/>
        </w:numPr>
      </w:pPr>
      <w:r>
        <w:t xml:space="preserve">What next — when assumptions fail!</w:t>
      </w:r>
    </w:p>
    <w:p>
      <w:pPr>
        <w:pStyle w:val="Compact"/>
        <w:numPr>
          <w:ilvl w:val="1"/>
          <w:numId w:val="1002"/>
        </w:numPr>
      </w:pPr>
      <w:r>
        <w:t xml:space="preserve">we will always cover parametric tests first</w:t>
      </w:r>
    </w:p>
    <w:p>
      <w:pPr>
        <w:pStyle w:val="Compact"/>
        <w:numPr>
          <w:ilvl w:val="1"/>
          <w:numId w:val="1002"/>
        </w:numPr>
      </w:pPr>
      <w:r>
        <w:t xml:space="preserve">then non-parametric approaches</w:t>
      </w:r>
    </w:p>
    <w:p>
      <w:pPr>
        <w:pStyle w:val="Compact"/>
        <w:numPr>
          <w:ilvl w:val="1"/>
          <w:numId w:val="1002"/>
        </w:numPr>
      </w:pPr>
      <w:r>
        <w:t xml:space="preserve">later, other approaches use the appropriate underlying distribution when it isn’t normal, but Poisson or other</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 name="Picture"/>
                  <a:graphic>
                    <a:graphicData uri="http://schemas.openxmlformats.org/drawingml/2006/picture">
                      <pic:pic>
                        <pic:nvPicPr>
                          <pic:cNvPr descr="/Applications/Positron.app/Contents/Resources/app/quarto/share/formats/docx/note.png" id="1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 from last lecture</w:t>
            </w:r>
          </w:p>
          <w:p>
            <w:pPr>
              <w:pStyle w:val="BodyText"/>
            </w:pPr>
            <w:pPr>
              <w:spacing w:after="16"/>
            </w:pPr>
            <w:r>
              <w:t xml:space="preserve">A t-test’s p-value is only trustworthy if its assumptions hold. Today is about what to do when they don’t.</w:t>
            </w:r>
          </w:p>
          <w:p/>
        </w:tc>
      </w:tr>
    </w:tbl>
    <w:p>
      <w:pPr>
        <w:pStyle w:val="CaptionedFigure"/>
      </w:pPr>
      <w:r>
        <w:drawing>
          <wp:inline>
            <wp:extent cx="2852928" cy="1901952"/>
            <wp:effectExtent b="0" l="0" r="0" t="0"/>
            <wp:docPr descr="Photo comparing needle length and bundle count across six pine species (Pinus ponderosa, nigra, resinosa, strobus, sylvestris, banksiana)." title="" id="13" name="Picture"/>
            <a:graphic>
              <a:graphicData uri="http://schemas.openxmlformats.org/drawingml/2006/picture">
                <pic:pic>
                  <pic:nvPicPr>
                    <pic:cNvPr descr="images/pine_needles.jpg" id="14" name="Picture"/>
                    <pic:cNvPicPr>
                      <a:picLocks noChangeArrowheads="1" noChangeAspect="1"/>
                    </pic:cNvPicPr>
                  </pic:nvPicPr>
                  <pic:blipFill>
                    <a:blip r:embed="rId12"/>
                    <a:stretch>
                      <a:fillRect/>
                    </a:stretch>
                  </pic:blipFill>
                  <pic:spPr bwMode="auto">
                    <a:xfrm>
                      <a:off x="0" y="0"/>
                      <a:ext cx="2852928" cy="1901952"/>
                    </a:xfrm>
                    <a:prstGeom prst="rect">
                      <a:avLst/>
                    </a:prstGeom>
                    <a:noFill/>
                    <a:ln w="9525">
                      <a:noFill/>
                      <a:headEnd/>
                      <a:tailEnd/>
                    </a:ln>
                  </pic:spPr>
                </pic:pic>
              </a:graphicData>
            </a:graphic>
          </wp:inline>
        </w:drawing>
      </w:r>
    </w:p>
    <w:p>
      <w:pPr>
        <w:pStyle w:val="ImageCaption"/>
      </w:pPr>
      <w:r>
        <w:t xml:space="preserve">Photo comparing needle length and bundle count across six pine species (Pinus ponderosa, nigra, resinosa, strobus, sylvestris, banksiana).</w:t>
      </w:r>
    </w:p>
    <w:bookmarkEnd w:id="15"/>
    <w:bookmarkStart w:id="19" w:name="todays-overview"/>
    <w:p>
      <w:pPr>
        <w:pStyle w:val="Heading2"/>
      </w:pPr>
      <w:r>
        <w:t xml:space="preserve">Today’s Overview</w:t>
      </w:r>
    </w:p>
    <w:p>
      <w:pPr>
        <w:pStyle w:val="FirstParagraph"/>
      </w:pPr>
      <w:r>
        <w:t xml:space="preserve">What we will cover today:</w:t>
      </w:r>
    </w:p>
    <w:p>
      <w:pPr>
        <w:pStyle w:val="Compact"/>
        <w:numPr>
          <w:ilvl w:val="0"/>
          <w:numId w:val="1003"/>
        </w:numPr>
      </w:pPr>
      <w:r>
        <w:t xml:space="preserve">What are the assumptions again, and how do you assess them?</w:t>
      </w:r>
    </w:p>
    <w:p>
      <w:pPr>
        <w:pStyle w:val="Compact"/>
        <w:numPr>
          <w:ilvl w:val="0"/>
          <w:numId w:val="1003"/>
        </w:numPr>
      </w:pPr>
      <w:r>
        <w:t xml:space="preserve">What to do when assumptions fail:</w:t>
      </w:r>
    </w:p>
    <w:p>
      <w:pPr>
        <w:pStyle w:val="Compact"/>
        <w:numPr>
          <w:ilvl w:val="1"/>
          <w:numId w:val="1004"/>
        </w:numPr>
      </w:pPr>
      <w:r>
        <w:t xml:space="preserve">Robust tests</w:t>
      </w:r>
    </w:p>
    <w:p>
      <w:pPr>
        <w:pStyle w:val="Compact"/>
        <w:numPr>
          <w:ilvl w:val="1"/>
          <w:numId w:val="1004"/>
        </w:numPr>
      </w:pPr>
      <w:r>
        <w:t xml:space="preserve">Rank-based tests</w:t>
      </w:r>
    </w:p>
    <w:p>
      <w:pPr>
        <w:pStyle w:val="Compact"/>
        <w:numPr>
          <w:ilvl w:val="1"/>
          <w:numId w:val="1004"/>
        </w:numPr>
      </w:pPr>
      <w:r>
        <w:t xml:space="preserve">Permutation tests</w:t>
      </w:r>
    </w:p>
    <w:p>
      <w:pPr>
        <w:pStyle w:val="FirstParagraph"/>
      </w:pPr>
      <w:r>
        <w:t xml:space="preserve">Let’s work with the lake trout data, as the weights are pretty cool and the assumptions may or may not hold. This easily translates to any of the other data frames you might want to use.</w:t>
      </w:r>
    </w:p>
    <w:p>
      <w:pPr>
        <w:pStyle w:val="CaptionedFigure"/>
      </w:pPr>
      <w:r>
        <w:drawing>
          <wp:inline>
            <wp:extent cx="2852928" cy="1261871"/>
            <wp:effectExtent b="0" l="0" r="0" t="0"/>
            <wp:docPr descr="Illustration of a lake trout in profile, showing its mottled brown-and-cream coloring and forked tail, the species whose weight and length data are used throughout this lecture." title="" id="17" name="Picture"/>
            <a:graphic>
              <a:graphicData uri="http://schemas.openxmlformats.org/drawingml/2006/picture">
                <pic:pic>
                  <pic:nvPicPr>
                    <pic:cNvPr descr="images/lake_trout.jpg" id="18" name="Picture"/>
                    <pic:cNvPicPr>
                      <a:picLocks noChangeArrowheads="1" noChangeAspect="1"/>
                    </pic:cNvPicPr>
                  </pic:nvPicPr>
                  <pic:blipFill>
                    <a:blip r:embed="rId16"/>
                    <a:stretch>
                      <a:fillRect/>
                    </a:stretch>
                  </pic:blipFill>
                  <pic:spPr bwMode="auto">
                    <a:xfrm>
                      <a:off x="0" y="0"/>
                      <a:ext cx="2852928" cy="1261871"/>
                    </a:xfrm>
                    <a:prstGeom prst="rect">
                      <a:avLst/>
                    </a:prstGeom>
                    <a:noFill/>
                    <a:ln w="9525">
                      <a:noFill/>
                      <a:headEnd/>
                      <a:tailEnd/>
                    </a:ln>
                  </pic:spPr>
                </pic:pic>
              </a:graphicData>
            </a:graphic>
          </wp:inline>
        </w:drawing>
      </w:r>
    </w:p>
    <w:p>
      <w:pPr>
        <w:pStyle w:val="ImageCaption"/>
      </w:pPr>
      <w:r>
        <w:t xml:space="preserve">Illustration of a lake trout in profile, showing its mottled brown-and-cream coloring and forked tail, the species whose weight and length data are used throughout this lecture.</w:t>
      </w:r>
    </w:p>
    <w:bookmarkEnd w:id="19"/>
    <w:bookmarkStart w:id="20" w:name="part-1-setting-up-our-analysis"/>
    <w:p>
      <w:pPr>
        <w:pStyle w:val="Heading2"/>
      </w:pPr>
      <w:r>
        <w:t xml:space="preserve">Part 1 · Setting Up Our Analysis</w:t>
      </w:r>
    </w:p>
    <w:bookmarkEnd w:id="20"/>
    <w:bookmarkStart w:id="24" w:name="setting-up-our-analysis"/>
    <w:p>
      <w:pPr>
        <w:pStyle w:val="Heading2"/>
      </w:pPr>
      <w:r>
        <w:t xml:space="preserve">Setting Up Our Analysis</w:t>
      </w:r>
    </w:p>
    <w:p>
      <w:pPr>
        <w:pStyle w:val="SourceCode"/>
      </w:pPr>
      <w:r>
        <w:rPr>
          <w:rStyle w:val="CommentTok"/>
        </w:rPr>
        <w:t xml:space="preserve"># Load libraries</w:t>
      </w:r>
      <w:r>
        <w:br/>
      </w:r>
      <w:r>
        <w:rPr>
          <w:rStyle w:val="FunctionTok"/>
        </w:rPr>
        <w:t xml:space="preserve">library</w:t>
      </w:r>
      <w:r>
        <w:rPr>
          <w:rStyle w:val="NormalTok"/>
        </w:rPr>
        <w:t xml:space="preserve">(car)          </w:t>
      </w:r>
      <w:r>
        <w:rPr>
          <w:rStyle w:val="CommentTok"/>
        </w:rPr>
        <w:t xml:space="preserve"># For diagnostic tests</w:t>
      </w:r>
      <w:r>
        <w:br/>
      </w:r>
      <w:r>
        <w:rPr>
          <w:rStyle w:val="FunctionTok"/>
        </w:rPr>
        <w:t xml:space="preserve">library</w:t>
      </w:r>
      <w:r>
        <w:rPr>
          <w:rStyle w:val="NormalTok"/>
        </w:rPr>
        <w:t xml:space="preserve">(patchwork)</w:t>
      </w:r>
      <w:r>
        <w:br/>
      </w:r>
      <w:r>
        <w:rPr>
          <w:rStyle w:val="FunctionTok"/>
        </w:rPr>
        <w:t xml:space="preserve">library</w:t>
      </w:r>
      <w:r>
        <w:rPr>
          <w:rStyle w:val="NormalTok"/>
        </w:rPr>
        <w:t xml:space="preserve">(tidyverse)    </w:t>
      </w:r>
      <w:r>
        <w:rPr>
          <w:rStyle w:val="CommentTok"/>
        </w:rPr>
        <w:t xml:space="preserve"># For data manipulation and visualization</w:t>
      </w:r>
    </w:p>
    <w:p>
      <w:pPr>
        <w:pStyle w:val="SourceCode"/>
      </w:pPr>
      <w:r>
        <w:rPr>
          <w:rStyle w:val="NormalTok"/>
        </w:rPr>
        <w:t xml:space="preserve">lt_df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"data/lake_trout.csv"</w:t>
      </w:r>
      <w:r>
        <w:rPr>
          <w:rStyle w:val="NormalTok"/>
        </w:rPr>
        <w:t xml:space="preserve">)</w:t>
      </w:r>
      <w:r>
        <w:br/>
      </w:r>
      <w:r>
        <w:rPr>
          <w:rStyle w:val="FunctionTok"/>
        </w:rPr>
        <w:t xml:space="preserve">head</w:t>
      </w:r>
      <w:r>
        <w:rPr>
          <w:rStyle w:val="NormalTok"/>
        </w:rPr>
        <w:t xml:space="preserve">(lt_df)</w:t>
      </w:r>
    </w:p>
    <w:p>
      <w:pPr>
        <w:pStyle w:val="SourceCode"/>
      </w:pPr>
      <w:r>
        <w:rPr>
          <w:rStyle w:val="VerbatimChar"/>
        </w:rPr>
        <w:t xml:space="preserve"># A tibble: 6 × 5</w:t>
      </w:r>
      <w:r>
        <w:br/>
      </w:r>
      <w:r>
        <w:rPr>
          <w:rStyle w:val="VerbatimChar"/>
        </w:rPr>
        <w:t xml:space="preserve">  sampling_site species    length_mm mass_g lake </w:t>
      </w:r>
      <w:r>
        <w:br/>
      </w:r>
      <w:r>
        <w:rPr>
          <w:rStyle w:val="VerbatimChar"/>
        </w:rPr>
        <w:t xml:space="preserve">  &lt;chr&gt;         &lt;chr&gt;          &lt;dbl&gt;  &lt;dbl&gt; &lt;chr&gt;</w:t>
      </w:r>
      <w:r>
        <w:br/>
      </w:r>
      <w:r>
        <w:rPr>
          <w:rStyle w:val="VerbatimChar"/>
        </w:rPr>
        <w:t xml:space="preserve">1 I8            lake trout       515   1400 I8   </w:t>
      </w:r>
      <w:r>
        <w:br/>
      </w:r>
      <w:r>
        <w:rPr>
          <w:rStyle w:val="VerbatimChar"/>
        </w:rPr>
        <w:t xml:space="preserve">2 I8            lake trout       468   1100 I8   </w:t>
      </w:r>
      <w:r>
        <w:br/>
      </w:r>
      <w:r>
        <w:rPr>
          <w:rStyle w:val="VerbatimChar"/>
        </w:rPr>
        <w:t xml:space="preserve">3 I8            lake trout       527   1550 I8   </w:t>
      </w:r>
      <w:r>
        <w:br/>
      </w:r>
      <w:r>
        <w:rPr>
          <w:rStyle w:val="VerbatimChar"/>
        </w:rPr>
        <w:t xml:space="preserve">4 I8            lake trout       525   1350 I8   </w:t>
      </w:r>
      <w:r>
        <w:br/>
      </w:r>
      <w:r>
        <w:rPr>
          <w:rStyle w:val="VerbatimChar"/>
        </w:rPr>
        <w:t xml:space="preserve">5 I8            lake trout       517   1300 I8   </w:t>
      </w:r>
      <w:r>
        <w:br/>
      </w:r>
      <w:r>
        <w:rPr>
          <w:rStyle w:val="VerbatimChar"/>
        </w:rPr>
        <w:t xml:space="preserve">6 I8            lake trout       607   2100 I8   </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22" name="Picture"/>
                  <a:graphic>
                    <a:graphicData uri="http://schemas.openxmlformats.org/drawingml/2006/picture">
                      <pic:pic>
                        <pic:nvPicPr>
                          <pic:cNvPr descr="/Applications/Positron.app/Contents/Resources/app/quarto/share/formats/docx/tip.png" id="2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Notice</w:t>
            </w:r>
          </w:p>
          <w:p>
            <w:pPr>
              <w:pStyle w:val="BodyText"/>
            </w:pPr>
            <w:pPr>
              <w:spacing w:after="16"/>
            </w:pPr>
            <w:r>
              <w:t xml:space="preserve">Six lakes’ worth of trout:</w:t>
            </w:r>
            <w:r>
              <w:t xml:space="preserve"> </w:t>
            </w:r>
            <w:r>
              <w:rPr>
                <w:rStyle w:val="VerbatimChar"/>
              </w:rPr>
              <w:t xml:space="preserve">sampling_site</w:t>
            </w:r>
            <w:r>
              <w:t xml:space="preserve">,</w:t>
            </w:r>
            <w:r>
              <w:t xml:space="preserve"> </w:t>
            </w:r>
            <w:r>
              <w:rPr>
                <w:rStyle w:val="VerbatimChar"/>
              </w:rPr>
              <w:t xml:space="preserve">species</w:t>
            </w:r>
            <w:r>
              <w:t xml:space="preserve">,</w:t>
            </w:r>
            <w:r>
              <w:t xml:space="preserve"> </w:t>
            </w:r>
            <w:r>
              <w:rPr>
                <w:rStyle w:val="VerbatimChar"/>
              </w:rPr>
              <w:t xml:space="preserve">length_mm</w:t>
            </w:r>
            <w:r>
              <w:t xml:space="preserve">,</w:t>
            </w:r>
            <w:r>
              <w:t xml:space="preserve"> </w:t>
            </w:r>
            <w:r>
              <w:rPr>
                <w:rStyle w:val="VerbatimChar"/>
              </w:rPr>
              <w:t xml:space="preserve">mass_g</w:t>
            </w:r>
            <w:r>
              <w:t xml:space="preserve">,</w:t>
            </w:r>
            <w:r>
              <w:t xml:space="preserve"> </w:t>
            </w:r>
            <w:r>
              <w:rPr>
                <w:rStyle w:val="VerbatimChar"/>
              </w:rPr>
              <w:t xml:space="preserve">lake</w:t>
            </w:r>
            <w:r>
              <w:t xml:space="preserve">.</w:t>
            </w:r>
          </w:p>
          <w:p/>
        </w:tc>
      </w:tr>
    </w:tbl>
    <w:bookmarkEnd w:id="24"/>
    <w:bookmarkStart w:id="27" w:name="calculating-the-mode"/>
    <w:p>
      <w:pPr>
        <w:pStyle w:val="Heading2"/>
      </w:pPr>
      <w:r>
        <w:t xml:space="preserve">Calculating the Mode</w:t>
      </w:r>
    </w:p>
    <w:p>
      <w:pPr>
        <w:pStyle w:val="SourceCode"/>
      </w:pPr>
      <w:r>
        <w:rPr>
          <w:rStyle w:val="CommentTok"/>
        </w:rPr>
        <w:t xml:space="preserve"># I had accidentally asked you to do mode in HW2 without</w:t>
      </w:r>
      <w:r>
        <w:br/>
      </w:r>
      <w:r>
        <w:rPr>
          <w:rStyle w:val="CommentTok"/>
        </w:rPr>
        <w:t xml:space="preserve"># telling you how... here is one approach</w:t>
      </w:r>
      <w:r>
        <w:br/>
      </w:r>
      <w:r>
        <w:rPr>
          <w:rStyle w:val="NormalTok"/>
        </w:rPr>
        <w:t xml:space="preserve">lt_df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(mass_g)) </w:t>
      </w:r>
      <w:r>
        <w:rPr>
          <w:rStyle w:val="SpecialCharTok"/>
        </w:rPr>
        <w:t xml:space="preserve">%&gt;%</w:t>
      </w:r>
      <w:r>
        <w:br/>
      </w:r>
      <w:r>
        <w:rPr>
          <w:rStyle w:val="NormalTok"/>
        </w:rPr>
        <w:t xml:space="preserve">  </w:t>
      </w:r>
      <w:r>
        <w:rPr>
          <w:rStyle w:val="FunctionTok"/>
        </w:rPr>
        <w:t xml:space="preserve">group_by</w:t>
      </w:r>
      <w:r>
        <w:rPr>
          <w:rStyle w:val="NormalTok"/>
        </w:rPr>
        <w:t xml:space="preserve">(lake, mass_g)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count =</w:t>
      </w:r>
      <w:r>
        <w:rPr>
          <w:rStyle w:val="NormalTok"/>
        </w:rPr>
        <w:t xml:space="preserve"> </w:t>
      </w:r>
      <w:r>
        <w:rPr>
          <w:rStyle w:val="FunctionTok"/>
        </w:rPr>
        <w:t xml:space="preserve">n</w:t>
      </w:r>
      <w:r>
        <w:rPr>
          <w:rStyle w:val="NormalTok"/>
        </w:rPr>
        <w:t xml:space="preserve">(), </w:t>
      </w:r>
      <w:r>
        <w:rPr>
          <w:rStyle w:val="AttributeTok"/>
        </w:rPr>
        <w:t xml:space="preserve">.groups =</w:t>
      </w:r>
      <w:r>
        <w:rPr>
          <w:rStyle w:val="NormalTok"/>
        </w:rPr>
        <w:t xml:space="preserve"> </w:t>
      </w:r>
      <w:r>
        <w:rPr>
          <w:rStyle w:val="StringTok"/>
        </w:rPr>
        <w:t xml:space="preserve">"drop_last"</w:t>
      </w:r>
      <w:r>
        <w:rPr>
          <w:rStyle w:val="NormalTok"/>
        </w:rPr>
        <w:t xml:space="preserve">) </w:t>
      </w:r>
      <w:r>
        <w:rPr>
          <w:rStyle w:val="SpecialCharTok"/>
        </w:rPr>
        <w:t xml:space="preserve">%&gt;%</w:t>
      </w:r>
      <w:r>
        <w:br/>
      </w:r>
      <w:r>
        <w:rPr>
          <w:rStyle w:val="NormalTok"/>
        </w:rPr>
        <w:t xml:space="preserve">  </w:t>
      </w:r>
      <w:r>
        <w:rPr>
          <w:rStyle w:val="FunctionTok"/>
        </w:rPr>
        <w:t xml:space="preserve">arrange</w:t>
      </w:r>
      <w:r>
        <w:rPr>
          <w:rStyle w:val="NormalTok"/>
        </w:rPr>
        <w:t xml:space="preserve">(</w:t>
      </w:r>
      <w:r>
        <w:rPr>
          <w:rStyle w:val="FunctionTok"/>
        </w:rPr>
        <w:t xml:space="preserve">desc</w:t>
      </w:r>
      <w:r>
        <w:rPr>
          <w:rStyle w:val="NormalTok"/>
        </w:rPr>
        <w:t xml:space="preserve">(count)) </w:t>
      </w:r>
      <w:r>
        <w:rPr>
          <w:rStyle w:val="SpecialCharTok"/>
        </w:rPr>
        <w:t xml:space="preserve">%&gt;%</w:t>
      </w:r>
      <w:r>
        <w:br/>
      </w:r>
      <w:r>
        <w:rPr>
          <w:rStyle w:val="NormalTok"/>
        </w:rPr>
        <w:t xml:space="preserve">  </w:t>
      </w:r>
      <w:r>
        <w:rPr>
          <w:rStyle w:val="FunctionTok"/>
        </w:rPr>
        <w:t xml:space="preserve">slice</w:t>
      </w:r>
      <w:r>
        <w:rPr>
          <w:rStyle w:val="NormalTok"/>
        </w:rPr>
        <w:t xml:space="preserve">(</w:t>
      </w:r>
      <w:r>
        <w:rPr>
          <w:rStyle w:val="DecValTok"/>
        </w:rPr>
        <w:t xml:space="preserve">1</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count) </w:t>
      </w:r>
      <w:r>
        <w:rPr>
          <w:rStyle w:val="SpecialCharTok"/>
        </w:rPr>
        <w:t xml:space="preserve">%&gt;%</w:t>
      </w:r>
      <w:r>
        <w:br/>
      </w:r>
      <w:r>
        <w:rPr>
          <w:rStyle w:val="NormalTok"/>
        </w:rPr>
        <w:t xml:space="preserve">  </w:t>
      </w:r>
      <w:r>
        <w:rPr>
          <w:rStyle w:val="FunctionTok"/>
        </w:rPr>
        <w:t xml:space="preserve">rename</w:t>
      </w:r>
      <w:r>
        <w:rPr>
          <w:rStyle w:val="NormalTok"/>
        </w:rPr>
        <w:t xml:space="preserve">(</w:t>
      </w:r>
      <w:r>
        <w:rPr>
          <w:rStyle w:val="AttributeTok"/>
        </w:rPr>
        <w:t xml:space="preserve">mode_mass =</w:t>
      </w:r>
      <w:r>
        <w:rPr>
          <w:rStyle w:val="NormalTok"/>
        </w:rPr>
        <w:t xml:space="preserve"> mass_g)</w:t>
      </w:r>
    </w:p>
    <w:p>
      <w:pPr>
        <w:pStyle w:val="SourceCode"/>
      </w:pPr>
      <w:r>
        <w:rPr>
          <w:rStyle w:val="VerbatimChar"/>
        </w:rPr>
        <w:t xml:space="preserve"># A tibble: 6 × 2</w:t>
      </w:r>
      <w:r>
        <w:br/>
      </w:r>
      <w:r>
        <w:rPr>
          <w:rStyle w:val="VerbatimChar"/>
        </w:rPr>
        <w:t xml:space="preserve"># Groups:   lake [6]</w:t>
      </w:r>
      <w:r>
        <w:br/>
      </w:r>
      <w:r>
        <w:rPr>
          <w:rStyle w:val="VerbatimChar"/>
        </w:rPr>
        <w:t xml:space="preserve">  lake        mode_mass</w:t>
      </w:r>
      <w:r>
        <w:br/>
      </w:r>
      <w:r>
        <w:rPr>
          <w:rStyle w:val="VerbatimChar"/>
        </w:rPr>
        <w:t xml:space="preserve">  &lt;chr&gt;           &lt;dbl&gt;</w:t>
      </w:r>
      <w:r>
        <w:br/>
      </w:r>
      <w:r>
        <w:rPr>
          <w:rStyle w:val="VerbatimChar"/>
        </w:rPr>
        <w:t xml:space="preserve">1 I8               1000</w:t>
      </w:r>
      <w:r>
        <w:br/>
      </w:r>
      <w:r>
        <w:rPr>
          <w:rStyle w:val="VerbatimChar"/>
        </w:rPr>
        <w:t xml:space="preserve">2 Island Lake      2200</w:t>
      </w:r>
      <w:r>
        <w:br/>
      </w:r>
      <w:r>
        <w:rPr>
          <w:rStyle w:val="VerbatimChar"/>
        </w:rPr>
        <w:t xml:space="preserve">3 N 01             1000</w:t>
      </w:r>
      <w:r>
        <w:br/>
      </w:r>
      <w:r>
        <w:rPr>
          <w:rStyle w:val="VerbatimChar"/>
        </w:rPr>
        <w:t xml:space="preserve">4 NE 12              90</w:t>
      </w:r>
      <w:r>
        <w:br/>
      </w:r>
      <w:r>
        <w:rPr>
          <w:rStyle w:val="VerbatimChar"/>
        </w:rPr>
        <w:t xml:space="preserve">5 NE 14            1150</w:t>
      </w:r>
      <w:r>
        <w:br/>
      </w:r>
      <w:r>
        <w:rPr>
          <w:rStyle w:val="VerbatimChar"/>
        </w:rPr>
        <w:t xml:space="preserve">6 Toolik            340</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5" name="Picture"/>
                  <a:graphic>
                    <a:graphicData uri="http://schemas.openxmlformats.org/drawingml/2006/picture">
                      <pic:pic>
                        <pic:nvPicPr>
                          <pic:cNvPr descr="/Applications/Positron.app/Contents/Resources/app/quarto/share/formats/docx/note.png" id="26"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pattern</w:t>
            </w:r>
          </w:p>
          <w:p>
            <w:pPr>
              <w:pStyle w:val="BodyText"/>
            </w:pPr>
            <w:pPr>
              <w:spacing w:after="16"/>
            </w:pPr>
            <w:r>
              <w:t xml:space="preserve">R has no built-in</w:t>
            </w:r>
            <w:r>
              <w:t xml:space="preserve"> </w:t>
            </w:r>
            <w:r>
              <w:rPr>
                <w:rStyle w:val="VerbatimChar"/>
              </w:rPr>
              <w:t xml:space="preserve">mode()</w:t>
            </w:r>
            <w:r>
              <w:t xml:space="preserve"> </w:t>
            </w:r>
            <w:r>
              <w:t xml:space="preserve">function for statistical mode — this</w:t>
            </w:r>
            <w:r>
              <w:t xml:space="preserve"> </w:t>
            </w:r>
            <w:r>
              <w:rPr>
                <w:rStyle w:val="VerbatimChar"/>
              </w:rPr>
              <w:t xml:space="preserve">group_by()</w:t>
            </w:r>
            <w:r>
              <w:t xml:space="preserve"> </w:t>
            </w:r>
            <w:r>
              <w:t xml:space="preserve">+</w:t>
            </w:r>
            <w:r>
              <w:t xml:space="preserve"> </w:t>
            </w:r>
            <w:r>
              <w:rPr>
                <w:rStyle w:val="VerbatimChar"/>
              </w:rPr>
              <w:t xml:space="preserve">count</w:t>
            </w:r>
            <w:r>
              <w:t xml:space="preserve"> </w:t>
            </w:r>
            <w:r>
              <w:t xml:space="preserve">+</w:t>
            </w:r>
            <w:r>
              <w:t xml:space="preserve"> </w:t>
            </w:r>
            <w:r>
              <w:rPr>
                <w:rStyle w:val="VerbatimChar"/>
              </w:rPr>
              <w:t xml:space="preserve">slice(1)</w:t>
            </w:r>
            <w:r>
              <w:t xml:space="preserve"> </w:t>
            </w:r>
            <w:r>
              <w:t xml:space="preserve">pattern is the standard workaround.</w:t>
            </w:r>
          </w:p>
          <w:p/>
        </w:tc>
      </w:tr>
    </w:tbl>
    <w:bookmarkEnd w:id="27"/>
    <w:bookmarkStart w:id="28" w:name="part-2-assumptions-of-parametric-tests"/>
    <w:p>
      <w:pPr>
        <w:pStyle w:val="Heading2"/>
      </w:pPr>
      <w:r>
        <w:t xml:space="preserve">Part 2 · Assumptions of Parametric Tests</w:t>
      </w:r>
    </w:p>
    <w:bookmarkEnd w:id="28"/>
    <w:bookmarkStart w:id="34" w:name="parametric-vs.-non-parametric-tests"/>
    <w:p>
      <w:pPr>
        <w:pStyle w:val="Heading2"/>
      </w:pPr>
      <w:r>
        <w:t xml:space="preserve">Parametric vs. Non-Parametric Tests</w:t>
      </w:r>
    </w:p>
    <w:p>
      <w:pPr>
        <w:pStyle w:val="FirstParagraph"/>
      </w:pPr>
      <w:r>
        <w:t xml:space="preserve">T-tests are</w:t>
      </w:r>
      <w:r>
        <w:t xml:space="preserve"> </w:t>
      </w:r>
      <w:r>
        <w:rPr>
          <w:b/>
          <w:bCs/>
        </w:rPr>
        <w:t xml:space="preserve">parametric</w:t>
      </w:r>
      <w:r>
        <w:t xml:space="preserve"> </w:t>
      </w:r>
      <w:r>
        <w:t xml:space="preserve">tests.</w:t>
      </w:r>
    </w:p>
    <w:p>
      <w:pPr>
        <w:pStyle w:val="Compact"/>
        <w:numPr>
          <w:ilvl w:val="0"/>
          <w:numId w:val="1005"/>
        </w:numPr>
      </w:pPr>
      <w:r>
        <w:rPr>
          <w:b/>
          <w:bCs/>
        </w:rPr>
        <w:t xml:space="preserve">Parametric tests:</w:t>
      </w:r>
    </w:p>
    <w:p>
      <w:pPr>
        <w:pStyle w:val="Compact"/>
        <w:numPr>
          <w:ilvl w:val="1"/>
          <w:numId w:val="1006"/>
        </w:numPr>
      </w:pPr>
      <w:r>
        <w:t xml:space="preserve">specify/assume the probability distribution the parameters came from</w:t>
      </w:r>
    </w:p>
    <w:p>
      <w:pPr>
        <w:pStyle w:val="Compact"/>
        <w:numPr>
          <w:ilvl w:val="1"/>
          <w:numId w:val="1006"/>
        </w:numPr>
      </w:pPr>
      <w:r>
        <w:t xml:space="preserve">basic assumptions of parametric t-tests: random sampling, normality, equal variance (or Welch’s t-test), no outliers</w:t>
      </w:r>
    </w:p>
    <w:p>
      <w:pPr>
        <w:pStyle w:val="Compact"/>
        <w:numPr>
          <w:ilvl w:val="0"/>
          <w:numId w:val="1005"/>
        </w:numPr>
      </w:pPr>
      <w:r>
        <w:rPr>
          <w:b/>
          <w:bCs/>
        </w:rPr>
        <w:t xml:space="preserve">Non-parametric tests:</w:t>
      </w:r>
      <w:r>
        <w:t xml:space="preserve"> </w:t>
      </w:r>
      <w:r>
        <w:t xml:space="preserve">no assumption about the probability distribution/normality</w:t>
      </w:r>
    </w:p>
    <w:p>
      <w:pPr>
        <w:pStyle w:val="Compact"/>
        <w:numPr>
          <w:ilvl w:val="1"/>
          <w:numId w:val="1007"/>
        </w:numPr>
      </w:pPr>
      <w:r>
        <w:t xml:space="preserve">Mukasa et al. 2021, DOI: 10.4236/ojbm.2021.93081</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29" name="Picture"/>
                  <a:graphic>
                    <a:graphicData uri="http://schemas.openxmlformats.org/drawingml/2006/picture">
                      <pic:pic>
                        <pic:nvPicPr>
                          <pic:cNvPr descr="/Applications/Positron.app/Contents/Resources/app/quarto/share/formats/docx/note.png" id="30"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Whitlock &amp; Schluter,</w:t>
            </w:r>
            <w:r>
              <w:t xml:space="preserve"> </w:t>
            </w:r>
            <w:r>
              <w:rPr>
                <w:i/>
                <w:iCs/>
              </w:rPr>
              <w:t xml:space="preserve">Analysis of Biological Data</w:t>
            </w:r>
            <w:r>
              <w:t xml:space="preserve">, Ch. 13 — Handling Violations of Assumptions, is the core reference for this whole lecture.</w:t>
            </w:r>
          </w:p>
          <w:p/>
        </w:tc>
      </w:tr>
    </w:tbl>
    <w:p>
      <w:pPr>
        <w:pStyle w:val="CaptionedFigure"/>
      </w:pPr>
      <w:r>
        <w:drawing>
          <wp:inline>
            <wp:extent cx="2852928" cy="2432304"/>
            <wp:effectExtent b="0" l="0" r="0" t="0"/>
            <wp:docPr descr="Flowchart of hypothesis tests branching into parametric and nonparametric tests, each split into one-sample and two-sample (independent vs. paired) tests, listing specific tests under each branch (e.g., t test and z test under parametric one-sample; Mann-Whitney and Wilcoxon under nonparametric two-sample)." title="" id="32" name="Picture"/>
            <a:graphic>
              <a:graphicData uri="http://schemas.openxmlformats.org/drawingml/2006/picture">
                <pic:pic>
                  <pic:nvPicPr>
                    <pic:cNvPr descr="images/clipboard-2948249782.png" id="33" name="Picture"/>
                    <pic:cNvPicPr>
                      <a:picLocks noChangeArrowheads="1" noChangeAspect="1"/>
                    </pic:cNvPicPr>
                  </pic:nvPicPr>
                  <pic:blipFill>
                    <a:blip r:embed="rId31"/>
                    <a:stretch>
                      <a:fillRect/>
                    </a:stretch>
                  </pic:blipFill>
                  <pic:spPr bwMode="auto">
                    <a:xfrm>
                      <a:off x="0" y="0"/>
                      <a:ext cx="2852928" cy="2432304"/>
                    </a:xfrm>
                    <a:prstGeom prst="rect">
                      <a:avLst/>
                    </a:prstGeom>
                    <a:noFill/>
                    <a:ln w="9525">
                      <a:noFill/>
                      <a:headEnd/>
                      <a:tailEnd/>
                    </a:ln>
                  </pic:spPr>
                </pic:pic>
              </a:graphicData>
            </a:graphic>
          </wp:inline>
        </w:drawing>
      </w:r>
    </w:p>
    <w:p>
      <w:pPr>
        <w:pStyle w:val="ImageCaption"/>
      </w:pPr>
      <w:r>
        <w:t xml:space="preserve">Flowchart of hypothesis tests branching into parametric and nonparametric tests, each split into one-sample and two-sample (independent vs. paired) tests, listing specific tests under each branch (e.g., t test and z test under parametric one-sample; Mann-Whitney and Wilcoxon under nonparametric two-sample).</w:t>
      </w:r>
    </w:p>
    <w:bookmarkEnd w:id="34"/>
    <w:bookmarkStart w:id="38" w:name="assumptions-of-parametric-tests-overview"/>
    <w:p>
      <w:pPr>
        <w:pStyle w:val="Heading2"/>
      </w:pPr>
      <w:r>
        <w:t xml:space="preserve">Assumptions of Parametric Tests — Overview</w:t>
      </w:r>
    </w:p>
    <w:p>
      <w:pPr>
        <w:pStyle w:val="Compact"/>
        <w:numPr>
          <w:ilvl w:val="0"/>
          <w:numId w:val="1008"/>
        </w:numPr>
      </w:pPr>
      <w:r>
        <w:t xml:space="preserve">If a parametric test’s assumptions are violated, the test becomes unreliable</w:t>
      </w:r>
    </w:p>
    <w:p>
      <w:pPr>
        <w:pStyle w:val="Compact"/>
        <w:numPr>
          <w:ilvl w:val="0"/>
          <w:numId w:val="1008"/>
        </w:numPr>
      </w:pPr>
      <w:r>
        <w:t xml:space="preserve">This is because the test statistic may no longer follow the distribution it’s supposed to</w:t>
      </w:r>
    </w:p>
    <w:p>
      <w:pPr>
        <w:pStyle w:val="Compact"/>
        <w:numPr>
          <w:ilvl w:val="0"/>
          <w:numId w:val="1008"/>
        </w:numPr>
      </w:pPr>
      <w:r>
        <w:t xml:space="preserve">Most parametric tests are robust to mild/moderate violations of normality</w:t>
      </w:r>
    </w:p>
    <w:p>
      <w:pPr>
        <w:pStyle w:val="CaptionedFigure"/>
      </w:pPr>
      <w:r>
        <w:drawing>
          <wp:inline>
            <wp:extent cx="2852928" cy="2377440"/>
            <wp:effectExtent b="0" l="0" r="0" t="0"/>
            <wp:docPr descr="Three probability density curves for a right-skewed distribution family at different sigma values (0.25, 0.5, 1) with mu = 0, showing how larger sigma produces a flatter, more spread-out, and less peaked skewed curve." title="" id="36" name="Picture"/>
            <a:graphic>
              <a:graphicData uri="http://schemas.openxmlformats.org/drawingml/2006/picture">
                <pic:pic>
                  <pic:nvPicPr>
                    <pic:cNvPr descr="images/clipboard-286482702.png" id="37" name="Picture"/>
                    <pic:cNvPicPr>
                      <a:picLocks noChangeArrowheads="1" noChangeAspect="1"/>
                    </pic:cNvPicPr>
                  </pic:nvPicPr>
                  <pic:blipFill>
                    <a:blip r:embed="rId35"/>
                    <a:stretch>
                      <a:fillRect/>
                    </a:stretch>
                  </pic:blipFill>
                  <pic:spPr bwMode="auto">
                    <a:xfrm>
                      <a:off x="0" y="0"/>
                      <a:ext cx="2852928" cy="2377440"/>
                    </a:xfrm>
                    <a:prstGeom prst="rect">
                      <a:avLst/>
                    </a:prstGeom>
                    <a:noFill/>
                    <a:ln w="9525">
                      <a:noFill/>
                      <a:headEnd/>
                      <a:tailEnd/>
                    </a:ln>
                  </pic:spPr>
                </pic:pic>
              </a:graphicData>
            </a:graphic>
          </wp:inline>
        </w:drawing>
      </w:r>
    </w:p>
    <w:p>
      <w:pPr>
        <w:pStyle w:val="ImageCaption"/>
      </w:pPr>
      <w:r>
        <w:t xml:space="preserve">Three probability density curves for a right-skewed distribution family at different sigma values (0.25, 0.5, 1) with mu = 0, showing how larger sigma produces a flatter, more spread-out, and less peaked skewed curve.</w:t>
      </w:r>
    </w:p>
    <w:bookmarkEnd w:id="38"/>
    <w:bookmarkStart w:id="42" w:name="assumptions-random-sampling"/>
    <w:p>
      <w:pPr>
        <w:pStyle w:val="Heading2"/>
      </w:pPr>
      <w:r>
        <w:t xml:space="preserve">Assumptions — Random Sampling</w:t>
      </w:r>
    </w:p>
    <w:p>
      <w:pPr>
        <w:pStyle w:val="FirstParagraph"/>
      </w:pPr>
      <w:r>
        <w:t xml:space="preserve">Basic assumptions of parametric t-tests: random sampling, normality, equal variance, no outliers.</w:t>
      </w:r>
    </w:p>
    <w:p>
      <w:pPr>
        <w:pStyle w:val="BodyText"/>
      </w:pPr>
      <w:r>
        <w:rPr>
          <w:b/>
          <w:bCs/>
        </w:rPr>
        <w:t xml:space="preserve">Random sampling:</w:t>
      </w:r>
    </w:p>
    <w:p>
      <w:pPr>
        <w:pStyle w:val="Compact"/>
        <w:numPr>
          <w:ilvl w:val="0"/>
          <w:numId w:val="1009"/>
        </w:numPr>
      </w:pPr>
      <w:r>
        <w:t xml:space="preserve">samples are randomly collected from populations; part of experimental design</w:t>
      </w:r>
    </w:p>
    <w:p>
      <w:pPr>
        <w:pStyle w:val="Compact"/>
        <w:numPr>
          <w:ilvl w:val="0"/>
          <w:numId w:val="1009"/>
        </w:numPr>
      </w:pPr>
      <w:r>
        <w:t xml:space="preserve">necessary for sample → population inference</w:t>
      </w:r>
    </w:p>
    <w:p>
      <w:pPr>
        <w:pStyle w:val="CaptionedFigure"/>
      </w:pPr>
      <w:r>
        <w:drawing>
          <wp:inline>
            <wp:extent cx="2304288" cy="2770632"/>
            <wp:effectExtent b="0" l="0" r="0" t="0"/>
            <wp:docPr descr="Diagram of a large circle labeled ‘population’ full of dots, with orange arrows showing a subset being drawn down into a small circle labeled ‘sample’, illustrating random sampling from a population." title="" id="40" name="Picture"/>
            <a:graphic>
              <a:graphicData uri="http://schemas.openxmlformats.org/drawingml/2006/picture">
                <pic:pic>
                  <pic:nvPicPr>
                    <pic:cNvPr descr="images/clipboard-2526616735.png" id="41" name="Picture"/>
                    <pic:cNvPicPr>
                      <a:picLocks noChangeArrowheads="1" noChangeAspect="1"/>
                    </pic:cNvPicPr>
                  </pic:nvPicPr>
                  <pic:blipFill>
                    <a:blip r:embed="rId39"/>
                    <a:stretch>
                      <a:fillRect/>
                    </a:stretch>
                  </pic:blipFill>
                  <pic:spPr bwMode="auto">
                    <a:xfrm>
                      <a:off x="0" y="0"/>
                      <a:ext cx="2304288" cy="2770632"/>
                    </a:xfrm>
                    <a:prstGeom prst="rect">
                      <a:avLst/>
                    </a:prstGeom>
                    <a:noFill/>
                    <a:ln w="9525">
                      <a:noFill/>
                      <a:headEnd/>
                      <a:tailEnd/>
                    </a:ln>
                  </pic:spPr>
                </pic:pic>
              </a:graphicData>
            </a:graphic>
          </wp:inline>
        </w:drawing>
      </w:r>
    </w:p>
    <w:p>
      <w:pPr>
        <w:pStyle w:val="ImageCaption"/>
      </w:pPr>
      <w:r>
        <w:t xml:space="preserve">Diagram of a large circle labeled</w:t>
      </w:r>
      <w:r>
        <w:t xml:space="preserve"> </w:t>
      </w:r>
      <w:r>
        <w:t xml:space="preserve">‘population’</w:t>
      </w:r>
      <w:r>
        <w:t xml:space="preserve"> </w:t>
      </w:r>
      <w:r>
        <w:t xml:space="preserve">full of dots, with orange arrows showing a subset being drawn down into a small circle labeled</w:t>
      </w:r>
      <w:r>
        <w:t xml:space="preserve"> </w:t>
      </w:r>
      <w:r>
        <w:t xml:space="preserve">‘sample’</w:t>
      </w:r>
      <w:r>
        <w:t xml:space="preserve">, illustrating random sampling from a population.</w:t>
      </w:r>
    </w:p>
    <w:bookmarkEnd w:id="42"/>
    <w:bookmarkStart w:id="48" w:name="assumptions-normality-testing"/>
    <w:p>
      <w:pPr>
        <w:pStyle w:val="Heading2"/>
      </w:pPr>
      <w:r>
        <w:t xml:space="preserve">Assumptions — Normality Testing</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3" name="Picture"/>
                  <a:graphic>
                    <a:graphicData uri="http://schemas.openxmlformats.org/drawingml/2006/picture">
                      <pic:pic>
                        <pic:nvPicPr>
                          <pic:cNvPr descr="/Applications/Positron.app/Contents/Resources/app/quarto/share/formats/docx/note.png" id="44"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b/>
                <w:bCs/>
              </w:rPr>
              <w:t xml:space="preserve">🔮 Predict first:</w:t>
            </w:r>
            <w:r>
              <w:t xml:space="preserve"> </w:t>
            </w:r>
            <w:r>
              <w:t xml:space="preserve">We’re about to look at histogram, dotplot, boxplot, and QQ-plot views of the</w:t>
            </w:r>
            <w:r>
              <w:t xml:space="preserve"> </w:t>
            </w:r>
            <w:r>
              <w:rPr>
                <w:i/>
                <w:iCs/>
              </w:rPr>
              <w:t xml:space="preserve">same</w:t>
            </w:r>
            <w:r>
              <w:t xml:space="preserve"> </w:t>
            </w:r>
            <w:r>
              <w:t xml:space="preserve">NE 12 mass data. Which of the four do you expect to be most convincing about normality?</w:t>
            </w:r>
          </w:p>
          <w:p/>
        </w:tc>
      </w:tr>
    </w:tbl>
    <w:p>
      <w:pPr>
        <w:pStyle w:val="BodyText"/>
      </w:pPr>
      <w:r>
        <w:t xml:space="preserve">Let’s test normality for one lake —</w:t>
      </w:r>
      <w:r>
        <w:t xml:space="preserve"> </w:t>
      </w:r>
      <w:r>
        <w:rPr>
          <w:rStyle w:val="VerbatimChar"/>
          <w:b/>
          <w:bCs/>
        </w:rPr>
        <w:t xml:space="preserve">NE 12</w:t>
      </w:r>
      <w:r>
        <w:t xml:space="preserve"> </w:t>
      </w:r>
      <w:r>
        <w:t xml:space="preserve">— as if we were going to run a one-sample t-test. We need a new data frame with only NE 12 data, called</w:t>
      </w:r>
      <w:r>
        <w:t xml:space="preserve"> </w:t>
      </w:r>
      <w:r>
        <w:rPr>
          <w:rStyle w:val="VerbatimChar"/>
        </w:rPr>
        <w:t xml:space="preserve">ne12_data</w:t>
      </w:r>
      <w:r>
        <w:t xml:space="preserve">.</w:t>
      </w:r>
    </w:p>
    <w:p>
      <w:pPr>
        <w:pStyle w:val="BodyText"/>
      </w:pPr>
      <w:r>
        <w:rPr>
          <w:b/>
          <w:bCs/>
        </w:rPr>
        <w:t xml:space="preserve">Normality:</w:t>
      </w:r>
      <w:r>
        <w:t xml:space="preserve"> </w:t>
      </w:r>
      <w:r>
        <w:t xml:space="preserve">samples from a normally distributed population</w:t>
      </w:r>
    </w:p>
    <w:p>
      <w:pPr>
        <w:pStyle w:val="Compact"/>
        <w:numPr>
          <w:ilvl w:val="0"/>
          <w:numId w:val="1010"/>
        </w:numPr>
      </w:pPr>
      <w:r>
        <w:t xml:space="preserve">Graphical tests: histograms, dotplots, boxplots,</w:t>
      </w:r>
      <w:r>
        <w:t xml:space="preserve"> </w:t>
      </w:r>
      <w:r>
        <w:rPr>
          <w:b/>
          <w:bCs/>
        </w:rPr>
        <w:t xml:space="preserve">QQ-plots</w:t>
      </w:r>
    </w:p>
    <w:p>
      <w:pPr>
        <w:pStyle w:val="Compact"/>
        <w:numPr>
          <w:ilvl w:val="0"/>
          <w:numId w:val="1010"/>
        </w:numPr>
      </w:pPr>
      <w:r>
        <w:t xml:space="preserve">“Formal”</w:t>
      </w:r>
      <w:r>
        <w:t xml:space="preserve"> </w:t>
      </w:r>
      <w:r>
        <w:t xml:space="preserve">tests:</w:t>
      </w:r>
      <w:r>
        <w:t xml:space="preserve"> </w:t>
      </w:r>
      <w:r>
        <w:rPr>
          <w:b/>
          <w:bCs/>
        </w:rPr>
        <w:t xml:space="preserve">Shapiro-Wilk test</w:t>
      </w:r>
      <w:r>
        <w:t xml:space="preserve"> </w:t>
      </w:r>
      <w:r>
        <w:t xml:space="preserve">— sometimes not useful</w:t>
      </w:r>
    </w:p>
    <w:p>
      <w:pPr>
        <w:pStyle w:val="FirstParagraph"/>
      </w:pPr>
      <w:r>
        <w:drawing>
          <wp:inline>
            <wp:extent cx="3669832" cy="3302849"/>
            <wp:effectExtent b="0" l="0" r="0" t="0"/>
            <wp:docPr descr="" title="" id="46" name="Picture"/>
            <a:graphic>
              <a:graphicData uri="http://schemas.openxmlformats.org/drawingml/2006/picture">
                <pic:pic>
                  <pic:nvPicPr>
                    <pic:cNvPr descr="nonparametric_t_tests_lecture_files/figure-docx/unnamed-chunk-4-1.png" id="47" name="Picture"/>
                    <pic:cNvPicPr>
                      <a:picLocks noChangeArrowheads="1" noChangeAspect="1"/>
                    </pic:cNvPicPr>
                  </pic:nvPicPr>
                  <pic:blipFill>
                    <a:blip r:embed="rId45"/>
                    <a:stretch>
                      <a:fillRect/>
                    </a:stretch>
                  </pic:blipFill>
                  <pic:spPr bwMode="auto">
                    <a:xfrm>
                      <a:off x="0" y="0"/>
                      <a:ext cx="3669832" cy="3302849"/>
                    </a:xfrm>
                    <a:prstGeom prst="rect">
                      <a:avLst/>
                    </a:prstGeom>
                    <a:noFill/>
                    <a:ln w="9525">
                      <a:noFill/>
                      <a:headEnd/>
                      <a:tailEnd/>
                    </a:ln>
                  </pic:spPr>
                </pic:pic>
              </a:graphicData>
            </a:graphic>
          </wp:inline>
        </w:drawing>
      </w:r>
    </w:p>
    <w:bookmarkEnd w:id="48"/>
    <w:bookmarkStart w:id="49" w:name="shapiro-wilk-test-for-normality"/>
    <w:p>
      <w:pPr>
        <w:pStyle w:val="Heading2"/>
      </w:pPr>
      <w:r>
        <w:t xml:space="preserve">Shapiro-Wilk Test for Normality</w:t>
      </w:r>
    </w:p>
    <w:p>
      <w:pPr>
        <w:pStyle w:val="FirstParagraph"/>
      </w:pPr>
      <w:r>
        <w:t xml:space="preserve">“Null hypothesis is that data is normally distributed.”</w:t>
      </w:r>
    </w:p>
    <w:p>
      <w:pPr>
        <w:pStyle w:val="Compact"/>
        <w:numPr>
          <w:ilvl w:val="0"/>
          <w:numId w:val="1011"/>
        </w:numPr>
      </w:pPr>
      <w:r>
        <w:t xml:space="preserve">Normality: samples from a normally distributed population</w:t>
      </w:r>
    </w:p>
    <w:p>
      <w:pPr>
        <w:pStyle w:val="Compact"/>
        <w:numPr>
          <w:ilvl w:val="0"/>
          <w:numId w:val="1011"/>
        </w:numPr>
      </w:pPr>
      <w:r>
        <w:t xml:space="preserve">Graphical tests: histograms, dotplots, boxplots,</w:t>
      </w:r>
      <w:r>
        <w:t xml:space="preserve"> </w:t>
      </w:r>
      <w:r>
        <w:rPr>
          <w:b/>
          <w:bCs/>
        </w:rPr>
        <w:t xml:space="preserve">QQ-plots</w:t>
      </w:r>
    </w:p>
    <w:p>
      <w:pPr>
        <w:pStyle w:val="Compact"/>
        <w:numPr>
          <w:ilvl w:val="0"/>
          <w:numId w:val="1011"/>
        </w:numPr>
      </w:pPr>
      <w:r>
        <w:t xml:space="preserve">“Formal”</w:t>
      </w:r>
      <w:r>
        <w:t xml:space="preserve"> </w:t>
      </w:r>
      <w:r>
        <w:t xml:space="preserve">tests:</w:t>
      </w:r>
      <w:r>
        <w:t xml:space="preserve"> </w:t>
      </w:r>
      <w:r>
        <w:rPr>
          <w:b/>
          <w:bCs/>
        </w:rPr>
        <w:t xml:space="preserve">Shapiro-Wilk test</w:t>
      </w:r>
      <w:r>
        <w:t xml:space="preserve"> </w:t>
      </w:r>
      <w:r>
        <w:t xml:space="preserve">— sometimes not useful</w:t>
      </w:r>
    </w:p>
    <w:p>
      <w:pPr>
        <w:pStyle w:val="SourceCode"/>
      </w:pPr>
      <w:r>
        <w:br/>
      </w:r>
      <w:r>
        <w:rPr>
          <w:rStyle w:val="VerbatimChar"/>
        </w:rPr>
        <w:t xml:space="preserve">    Shapiro-Wilk normality test</w:t>
      </w:r>
      <w:r>
        <w:br/>
      </w:r>
      <w:r>
        <w:br/>
      </w:r>
      <w:r>
        <w:rPr>
          <w:rStyle w:val="VerbatimChar"/>
        </w:rPr>
        <w:t xml:space="preserve">data:  ne12_data$length_mm</w:t>
      </w:r>
      <w:r>
        <w:br/>
      </w:r>
      <w:r>
        <w:rPr>
          <w:rStyle w:val="VerbatimChar"/>
        </w:rPr>
        <w:t xml:space="preserve">W = 0.94528, p-value = 1.56e-09</w:t>
      </w:r>
    </w:p>
    <w:bookmarkEnd w:id="49"/>
    <w:bookmarkStart w:id="53" w:name="testing-the-equal-variance-assumption"/>
    <w:p>
      <w:pPr>
        <w:pStyle w:val="Heading2"/>
      </w:pPr>
      <w:r>
        <w:t xml:space="preserve">Testing the Equal Variance Assumption</w:t>
      </w:r>
    </w:p>
    <w:p>
      <w:pPr>
        <w:pStyle w:val="FirstParagraph"/>
      </w:pPr>
      <w:r>
        <w:rPr>
          <w:b/>
          <w:bCs/>
        </w:rPr>
        <w:t xml:space="preserve">Equal variance:</w:t>
      </w:r>
      <w:r>
        <w:t xml:space="preserve"> </w:t>
      </w:r>
      <w:r>
        <w:t xml:space="preserve">samples are from populations with a similar degree of variability.</w:t>
      </w:r>
    </w:p>
    <w:p>
      <w:pPr>
        <w:pStyle w:val="Compact"/>
        <w:numPr>
          <w:ilvl w:val="0"/>
          <w:numId w:val="1012"/>
        </w:numPr>
      </w:pPr>
      <w:r>
        <w:t xml:space="preserve">Graphical tests: boxplots</w:t>
      </w:r>
    </w:p>
    <w:p>
      <w:pPr>
        <w:pStyle w:val="Compact"/>
        <w:numPr>
          <w:ilvl w:val="0"/>
          <w:numId w:val="1012"/>
        </w:numPr>
      </w:pPr>
      <w:r>
        <w:t xml:space="preserve">“Formal”</w:t>
      </w:r>
      <w:r>
        <w:t xml:space="preserve"> </w:t>
      </w:r>
      <w:r>
        <w:t xml:space="preserve">tests: F-ratio test</w:t>
      </w:r>
    </w:p>
    <w:p>
      <w:pPr>
        <w:pStyle w:val="Compact"/>
        <w:numPr>
          <w:ilvl w:val="0"/>
          <w:numId w:val="1012"/>
        </w:numPr>
      </w:pPr>
      <w:r>
        <w:t xml:space="preserve">When sample sizes are equal, parametric tests are most robust to violations of normality — less so for equal variance</w:t>
      </w:r>
    </w:p>
    <w:p>
      <w:pPr>
        <w:pStyle w:val="FirstParagraph"/>
      </w:pPr>
      <w:r>
        <w:drawing>
          <wp:inline>
            <wp:extent cx="2935866" cy="2568882"/>
            <wp:effectExtent b="0" l="0" r="0" t="0"/>
            <wp:docPr descr="" title="" id="51" name="Picture"/>
            <a:graphic>
              <a:graphicData uri="http://schemas.openxmlformats.org/drawingml/2006/picture">
                <pic:pic>
                  <pic:nvPicPr>
                    <pic:cNvPr descr="nonparametric_t_tests_lecture_files/figure-docx/unnamed-chunk-6-1.png" id="52" name="Picture"/>
                    <pic:cNvPicPr>
                      <a:picLocks noChangeArrowheads="1" noChangeAspect="1"/>
                    </pic:cNvPicPr>
                  </pic:nvPicPr>
                  <pic:blipFill>
                    <a:blip r:embed="rId50"/>
                    <a:stretch>
                      <a:fillRect/>
                    </a:stretch>
                  </pic:blipFill>
                  <pic:spPr bwMode="auto">
                    <a:xfrm>
                      <a:off x="0" y="0"/>
                      <a:ext cx="2935866" cy="2568882"/>
                    </a:xfrm>
                    <a:prstGeom prst="rect">
                      <a:avLst/>
                    </a:prstGeom>
                    <a:noFill/>
                    <a:ln w="9525">
                      <a:noFill/>
                      <a:headEnd/>
                      <a:tailEnd/>
                    </a:ln>
                  </pic:spPr>
                </pic:pic>
              </a:graphicData>
            </a:graphic>
          </wp:inline>
        </w:drawing>
      </w:r>
    </w:p>
    <w:bookmarkEnd w:id="53"/>
    <w:bookmarkStart w:id="60" w:name="testing-for-outliers"/>
    <w:p>
      <w:pPr>
        <w:pStyle w:val="Heading2"/>
      </w:pPr>
      <w:r>
        <w:t xml:space="preserve">Testing for Outliers</w:t>
      </w:r>
    </w:p>
    <w:p>
      <w:pPr>
        <w:pStyle w:val="FirstParagraph"/>
      </w:pPr>
      <w:r>
        <w:rPr>
          <w:b/>
          <w:bCs/>
        </w:rPr>
        <w:t xml:space="preserve">No outliers:</w:t>
      </w:r>
      <w:r>
        <w:t xml:space="preserve"> </w:t>
      </w:r>
      <w:r>
        <w:t xml:space="preserve">no</w:t>
      </w:r>
      <w:r>
        <w:t xml:space="preserve"> </w:t>
      </w:r>
      <w:r>
        <w:t xml:space="preserve">“extreme”</w:t>
      </w:r>
      <w:r>
        <w:t xml:space="preserve"> </w:t>
      </w:r>
      <w:r>
        <w:t xml:space="preserve">values very different from the rest of the sample.</w:t>
      </w:r>
    </w:p>
    <w:p>
      <w:pPr>
        <w:pStyle w:val="Compact"/>
        <w:numPr>
          <w:ilvl w:val="0"/>
          <w:numId w:val="1013"/>
        </w:numPr>
      </w:pPr>
      <w:r>
        <w:t xml:space="preserve">Graphical tests: boxplots, histograms</w:t>
      </w:r>
    </w:p>
    <w:p>
      <w:pPr>
        <w:pStyle w:val="Compact"/>
        <w:numPr>
          <w:ilvl w:val="0"/>
          <w:numId w:val="1013"/>
        </w:numPr>
      </w:pPr>
      <w:r>
        <w:t xml:space="preserve">“Formal tests”</w:t>
      </w:r>
      <w:r>
        <w:t xml:space="preserve">: Grubbs’ test — no one really does this</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55" name="Picture"/>
                  <a:graphic>
                    <a:graphicData uri="http://schemas.openxmlformats.org/drawingml/2006/picture">
                      <pic:pic>
                        <pic:nvPicPr>
                          <pic:cNvPr descr="/Applications/Positron.app/Contents/Resources/app/quarto/share/formats/docx/warning.png" id="56" name="Picture"/>
                          <pic:cNvPicPr>
                            <a:picLocks noChangeArrowheads="1" noChangeAspect="1"/>
                          </pic:cNvPicPr>
                        </pic:nvPicPr>
                        <pic:blipFill>
                          <a:blip r:embed="rId5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Watch out!</w:t>
            </w:r>
          </w:p>
          <w:p>
            <w:pPr>
              <w:pStyle w:val="BodyText"/>
            </w:pPr>
            <w:pPr>
              <w:spacing w:after="16"/>
            </w:pPr>
            <w:r>
              <w:t xml:space="preserve">Outliers are a problem for non-parametric tests as well — switching to a rank-based test doesn’t make an outlier stop mattering.</w:t>
            </w:r>
          </w:p>
          <w:p/>
        </w:tc>
      </w:tr>
    </w:tbl>
    <w:p>
      <w:pPr>
        <w:pStyle w:val="BodyText"/>
      </w:pPr>
      <w:r>
        <w:drawing>
          <wp:inline>
            <wp:extent cx="2935866" cy="2568882"/>
            <wp:effectExtent b="0" l="0" r="0" t="0"/>
            <wp:docPr descr="" title="" id="58" name="Picture"/>
            <a:graphic>
              <a:graphicData uri="http://schemas.openxmlformats.org/drawingml/2006/picture">
                <pic:pic>
                  <pic:nvPicPr>
                    <pic:cNvPr descr="nonparametric_t_tests_lecture_files/figure-docx/unnamed-chunk-7-1.png" id="59" name="Picture"/>
                    <pic:cNvPicPr>
                      <a:picLocks noChangeArrowheads="1" noChangeAspect="1"/>
                    </pic:cNvPicPr>
                  </pic:nvPicPr>
                  <pic:blipFill>
                    <a:blip r:embed="rId57"/>
                    <a:stretch>
                      <a:fillRect/>
                    </a:stretch>
                  </pic:blipFill>
                  <pic:spPr bwMode="auto">
                    <a:xfrm>
                      <a:off x="0" y="0"/>
                      <a:ext cx="2935866" cy="2568882"/>
                    </a:xfrm>
                    <a:prstGeom prst="rect">
                      <a:avLst/>
                    </a:prstGeom>
                    <a:noFill/>
                    <a:ln w="9525">
                      <a:noFill/>
                      <a:headEnd/>
                      <a:tailEnd/>
                    </a:ln>
                  </pic:spPr>
                </pic:pic>
              </a:graphicData>
            </a:graphic>
          </wp:inline>
        </w:drawing>
      </w:r>
    </w:p>
    <w:bookmarkEnd w:id="60"/>
    <w:bookmarkStart w:id="61" w:name="part-3-when-assumptions-fail"/>
    <w:p>
      <w:pPr>
        <w:pStyle w:val="Heading2"/>
      </w:pPr>
      <w:r>
        <w:t xml:space="preserve">Part 3 · When Assumptions Fail</w:t>
      </w:r>
    </w:p>
    <w:bookmarkEnd w:id="61"/>
    <w:bookmarkStart w:id="65" w:name="alternative-tests-when-assumptions-fail"/>
    <w:p>
      <w:pPr>
        <w:pStyle w:val="Heading2"/>
      </w:pPr>
      <w:r>
        <w:t xml:space="preserve">Alternative Tests When Assumptions Fail</w:t>
      </w:r>
    </w:p>
    <w:p>
      <w:pPr>
        <w:pStyle w:val="FirstParagraph"/>
      </w:pPr>
      <w:r>
        <w:t xml:space="preserve">What if t-test assumptions fail? Alternative tests, with more relaxed assumptions, are available. In which case would you use each?</w:t>
      </w:r>
    </w:p>
    <w:p>
      <w:pPr>
        <w:pStyle w:val="Compact"/>
        <w:numPr>
          <w:ilvl w:val="0"/>
          <w:numId w:val="1014"/>
        </w:numPr>
      </w:pPr>
      <w:r>
        <w:rPr>
          <w:b/>
          <w:bCs/>
        </w:rPr>
        <w:t xml:space="preserve">Welch’s t-test:</w:t>
      </w:r>
      <w:r>
        <w:t xml:space="preserve"> </w:t>
      </w:r>
      <w:r>
        <w:rPr>
          <w:i/>
          <w:iCs/>
        </w:rPr>
        <w:t xml:space="preserve">distribution normal but variance unequal</w:t>
      </w:r>
    </w:p>
    <w:p>
      <w:pPr>
        <w:pStyle w:val="Compact"/>
        <w:numPr>
          <w:ilvl w:val="0"/>
          <w:numId w:val="1014"/>
        </w:numPr>
      </w:pPr>
      <w:r>
        <w:rPr>
          <w:b/>
          <w:bCs/>
        </w:rPr>
        <w:t xml:space="preserve">Mann-Whitney-Wilcoxon test:</w:t>
      </w:r>
      <w:r>
        <w:t xml:space="preserve"> </w:t>
      </w:r>
      <w:r>
        <w:rPr>
          <w:i/>
          <w:iCs/>
        </w:rPr>
        <w:t xml:space="preserve">distribution not normal and/or outliers present (but both groups should still have similar distributions and ~equal variance)</w:t>
      </w:r>
    </w:p>
    <w:p>
      <w:pPr>
        <w:pStyle w:val="Compact"/>
        <w:numPr>
          <w:ilvl w:val="0"/>
          <w:numId w:val="1014"/>
        </w:numPr>
      </w:pPr>
      <w:r>
        <w:rPr>
          <w:b/>
          <w:bCs/>
        </w:rPr>
        <w:t xml:space="preserve">Permutation test for two samples:</w:t>
      </w:r>
      <w:r>
        <w:t xml:space="preserve"> </w:t>
      </w:r>
      <w:r>
        <w:rPr>
          <w:i/>
          <w:iCs/>
        </w:rPr>
        <w:t xml:space="preserve">distribution not normal (but both groups should still have similar distributions and ~equal variance)</w:t>
      </w:r>
    </w:p>
    <w:p>
      <w:pPr>
        <w:pStyle w:val="FirstParagraph"/>
      </w:pPr>
      <w:r>
        <w:drawing>
          <wp:inline>
            <wp:extent cx="2935866" cy="3669832"/>
            <wp:effectExtent b="0" l="0" r="0" t="0"/>
            <wp:docPr descr="" title="" id="63" name="Picture"/>
            <a:graphic>
              <a:graphicData uri="http://schemas.openxmlformats.org/drawingml/2006/picture">
                <pic:pic>
                  <pic:nvPicPr>
                    <pic:cNvPr descr="nonparametric_t_tests_lecture_files/figure-docx/unnamed-chunk-8-1.png" id="64" name="Picture"/>
                    <pic:cNvPicPr>
                      <a:picLocks noChangeArrowheads="1" noChangeAspect="1"/>
                    </pic:cNvPicPr>
                  </pic:nvPicPr>
                  <pic:blipFill>
                    <a:blip r:embed="rId62"/>
                    <a:stretch>
                      <a:fillRect/>
                    </a:stretch>
                  </pic:blipFill>
                  <pic:spPr bwMode="auto">
                    <a:xfrm>
                      <a:off x="0" y="0"/>
                      <a:ext cx="2935866" cy="3669832"/>
                    </a:xfrm>
                    <a:prstGeom prst="rect">
                      <a:avLst/>
                    </a:prstGeom>
                    <a:noFill/>
                    <a:ln w="9525">
                      <a:noFill/>
                      <a:headEnd/>
                      <a:tailEnd/>
                    </a:ln>
                  </pic:spPr>
                </pic:pic>
              </a:graphicData>
            </a:graphic>
          </wp:inline>
        </w:drawing>
      </w:r>
    </w:p>
    <w:bookmarkEnd w:id="65"/>
    <w:bookmarkStart w:id="69" w:name="understanding-qq-plots"/>
    <w:p>
      <w:pPr>
        <w:pStyle w:val="Heading2"/>
      </w:pPr>
      <w:r>
        <w:t xml:space="preserve">Understanding QQ-Plots</w:t>
      </w:r>
    </w:p>
    <w:p>
      <w:pPr>
        <w:pStyle w:val="FirstParagraph"/>
      </w:pPr>
      <w:r>
        <w:rPr>
          <w:b/>
          <w:bCs/>
        </w:rPr>
        <w:t xml:space="preserve">QQ-plots:</w:t>
      </w:r>
      <w:r>
        <w:t xml:space="preserve"> </w:t>
      </w:r>
      <w:r>
        <w:t xml:space="preserve">a tool for assessing normality.</w:t>
      </w:r>
    </w:p>
    <w:p>
      <w:pPr>
        <w:pStyle w:val="Compact"/>
        <w:numPr>
          <w:ilvl w:val="0"/>
          <w:numId w:val="1015"/>
        </w:numPr>
      </w:pPr>
      <w:r>
        <w:t xml:space="preserve">On x: theoretical quantiles from a standard normal distribution</w:t>
      </w:r>
    </w:p>
    <w:p>
      <w:pPr>
        <w:pStyle w:val="Compact"/>
        <w:numPr>
          <w:ilvl w:val="0"/>
          <w:numId w:val="1015"/>
        </w:numPr>
      </w:pPr>
      <w:r>
        <w:t xml:space="preserve">On y: ordered sample values</w:t>
      </w:r>
    </w:p>
    <w:p>
      <w:pPr>
        <w:pStyle w:val="Compact"/>
        <w:numPr>
          <w:ilvl w:val="0"/>
          <w:numId w:val="1015"/>
        </w:numPr>
      </w:pPr>
      <w:r>
        <w:t xml:space="preserve">Deviation from normal can be detected as deviation from a straight line</w:t>
      </w:r>
    </w:p>
    <w:p>
      <w:pPr>
        <w:pStyle w:val="FirstParagraph"/>
      </w:pPr>
      <w:r>
        <w:drawing>
          <wp:inline>
            <wp:extent cx="3119357" cy="2568882"/>
            <wp:effectExtent b="0" l="0" r="0" t="0"/>
            <wp:docPr descr="" title="" id="67" name="Picture"/>
            <a:graphic>
              <a:graphicData uri="http://schemas.openxmlformats.org/drawingml/2006/picture">
                <pic:pic>
                  <pic:nvPicPr>
                    <pic:cNvPr descr="nonparametric_t_tests_lecture_files/figure-docx/unnamed-chunk-9-1.png" id="68" name="Picture"/>
                    <pic:cNvPicPr>
                      <a:picLocks noChangeArrowheads="1" noChangeAspect="1"/>
                    </pic:cNvPicPr>
                  </pic:nvPicPr>
                  <pic:blipFill>
                    <a:blip r:embed="rId66"/>
                    <a:stretch>
                      <a:fillRect/>
                    </a:stretch>
                  </pic:blipFill>
                  <pic:spPr bwMode="auto">
                    <a:xfrm>
                      <a:off x="0" y="0"/>
                      <a:ext cx="3119357" cy="2568882"/>
                    </a:xfrm>
                    <a:prstGeom prst="rect">
                      <a:avLst/>
                    </a:prstGeom>
                    <a:noFill/>
                    <a:ln w="9525">
                      <a:noFill/>
                      <a:headEnd/>
                      <a:tailEnd/>
                    </a:ln>
                  </pic:spPr>
                </pic:pic>
              </a:graphicData>
            </a:graphic>
          </wp:inline>
        </w:drawing>
      </w:r>
    </w:p>
    <w:bookmarkEnd w:id="69"/>
    <w:bookmarkStart w:id="74" w:name="data-transformations"/>
    <w:p>
      <w:pPr>
        <w:pStyle w:val="Heading2"/>
      </w:pPr>
      <w:r>
        <w:t xml:space="preserve">Data Transformations</w:t>
      </w:r>
    </w:p>
    <w:p>
      <w:pPr>
        <w:pStyle w:val="FirstParagraph"/>
      </w:pPr>
      <w:r>
        <w:t xml:space="preserve">In some cases, data can be mathematically</w:t>
      </w:r>
      <w:r>
        <w:t xml:space="preserve"> </w:t>
      </w:r>
      <w:r>
        <w:t xml:space="preserve">“transformed”</w:t>
      </w:r>
      <w:r>
        <w:t xml:space="preserve"> </w:t>
      </w:r>
      <w:r>
        <w:t xml:space="preserve">to meet the assumptions of parametric tests. This can be done in R and usually involves:</w:t>
      </w:r>
    </w:p>
    <w:p>
      <w:pPr>
        <w:pStyle w:val="Compact"/>
        <w:numPr>
          <w:ilvl w:val="0"/>
          <w:numId w:val="1016"/>
        </w:numPr>
      </w:pPr>
      <w:r>
        <w:t xml:space="preserve">log₁₀ transformations</w:t>
      </w:r>
    </w:p>
    <w:p>
      <w:pPr>
        <w:pStyle w:val="Compact"/>
        <w:numPr>
          <w:ilvl w:val="0"/>
          <w:numId w:val="1016"/>
        </w:numPr>
      </w:pPr>
      <w:r>
        <w:t xml:space="preserve">square root transformations</w:t>
      </w:r>
    </w:p>
    <w:p>
      <w:pPr>
        <w:pStyle w:val="Compact"/>
        <w:numPr>
          <w:ilvl w:val="0"/>
          <w:numId w:val="1016"/>
        </w:numPr>
      </w:pPr>
      <w:r>
        <w:t xml:space="preserve">and many others</w:t>
      </w:r>
    </w:p>
    <w:p>
      <w:pPr>
        <w:pStyle w:val="CaptionedFigure"/>
      </w:pPr>
      <w:r>
        <w:drawing>
          <wp:inline>
            <wp:extent cx="2852928" cy="2450592"/>
            <wp:effectExtent b="0" l="0" r="0" t="0"/>
            <wp:docPr descr="Reference chart of six common data transformations (square root, logarithm, inverse, and their ‘reflect and’ variants for left-skewed data), each shown as a small curve with its transformation formula, used to pick a transformation that matches a variable’s skew shape." title="" id="71" name="Picture"/>
            <a:graphic>
              <a:graphicData uri="http://schemas.openxmlformats.org/drawingml/2006/picture">
                <pic:pic>
                  <pic:nvPicPr>
                    <pic:cNvPr descr="images/transformations_2%20jpg.jpg" id="72" name="Picture"/>
                    <pic:cNvPicPr>
                      <a:picLocks noChangeArrowheads="1" noChangeAspect="1"/>
                    </pic:cNvPicPr>
                  </pic:nvPicPr>
                  <pic:blipFill>
                    <a:blip r:embed="rId70"/>
                    <a:stretch>
                      <a:fillRect/>
                    </a:stretch>
                  </pic:blipFill>
                  <pic:spPr bwMode="auto">
                    <a:xfrm>
                      <a:off x="0" y="0"/>
                      <a:ext cx="2852928" cy="2450592"/>
                    </a:xfrm>
                    <a:prstGeom prst="rect">
                      <a:avLst/>
                    </a:prstGeom>
                    <a:noFill/>
                    <a:ln w="9525">
                      <a:noFill/>
                      <a:headEnd/>
                      <a:tailEnd/>
                    </a:ln>
                  </pic:spPr>
                </pic:pic>
              </a:graphicData>
            </a:graphic>
          </wp:inline>
        </w:drawing>
      </w:r>
    </w:p>
    <w:p>
      <w:pPr>
        <w:pStyle w:val="ImageCaption"/>
      </w:pPr>
      <w:r>
        <w:t xml:space="preserve">Reference chart of six common data transformations (square root, logarithm, inverse, and their</w:t>
      </w:r>
      <w:r>
        <w:t xml:space="preserve"> </w:t>
      </w:r>
      <w:r>
        <w:t xml:space="preserve">‘reflect and’</w:t>
      </w:r>
      <w:r>
        <w:t xml:space="preserve"> </w:t>
      </w:r>
      <w:r>
        <w:t xml:space="preserve">variants for left-skewed data), each shown as a small curve with its transformation formula, used to pick a transformation that matches a variable’s skew shape.</w:t>
      </w:r>
    </w:p>
    <w:p>
      <w:pPr>
        <w:pStyle w:val="BodyText"/>
      </w:pPr>
      <w:hyperlink r:id="rId73">
        <w:r>
          <w:rPr>
            <w:rStyle w:val="Hyperlink"/>
          </w:rPr>
          <w:t xml:space="preserve">source</w:t>
        </w:r>
      </w:hyperlink>
    </w:p>
    <w:bookmarkEnd w:id="74"/>
    <w:bookmarkStart w:id="75" w:name="part-4-welchs-t-test"/>
    <w:p>
      <w:pPr>
        <w:pStyle w:val="Heading2"/>
      </w:pPr>
      <w:r>
        <w:t xml:space="preserve">Part 4 · Welch’s T-Test</w:t>
      </w:r>
    </w:p>
    <w:bookmarkEnd w:id="75"/>
    <w:bookmarkStart w:id="79" w:name="robust-tests-welchs-t-test"/>
    <w:p>
      <w:pPr>
        <w:pStyle w:val="Heading2"/>
      </w:pPr>
      <w:r>
        <w:t xml:space="preserve">Robust Tests — Welch’s T-Test</w:t>
      </w:r>
    </w:p>
    <w:p>
      <w:pPr>
        <w:pStyle w:val="FirstParagraph"/>
      </w:pPr>
      <w:r>
        <w:rPr>
          <w:b/>
          <w:bCs/>
        </w:rPr>
        <w:t xml:space="preserve">Welch’s t-test:</w:t>
      </w:r>
    </w:p>
    <w:p>
      <w:pPr>
        <w:pStyle w:val="Compact"/>
        <w:numPr>
          <w:ilvl w:val="0"/>
          <w:numId w:val="1017"/>
        </w:numPr>
      </w:pPr>
      <w:r>
        <w:t xml:space="preserve">a common</w:t>
      </w:r>
      <w:r>
        <w:t xml:space="preserve"> </w:t>
      </w:r>
      <w:r>
        <w:t xml:space="preserve">“robust”</w:t>
      </w:r>
      <w:r>
        <w:t xml:space="preserve"> </w:t>
      </w:r>
      <w:r>
        <w:t xml:space="preserve">test for the means of two populations</w:t>
      </w:r>
    </w:p>
    <w:p>
      <w:pPr>
        <w:pStyle w:val="Compact"/>
        <w:numPr>
          <w:ilvl w:val="0"/>
          <w:numId w:val="1017"/>
        </w:numPr>
      </w:pPr>
      <w:r>
        <w:t xml:space="preserve">robust to violation of the equal-variance assumption; deals better with unequal sample sizes</w:t>
      </w:r>
    </w:p>
    <w:p>
      <w:pPr>
        <w:pStyle w:val="Compact"/>
        <w:numPr>
          <w:ilvl w:val="0"/>
          <w:numId w:val="1017"/>
        </w:numPr>
      </w:pPr>
      <w:r>
        <w:t xml:space="preserve">still a</w:t>
      </w:r>
      <w:r>
        <w:t xml:space="preserve"> </w:t>
      </w:r>
      <w:r>
        <w:rPr>
          <w:b/>
          <w:bCs/>
        </w:rPr>
        <w:t xml:space="preserve">parametric</w:t>
      </w:r>
      <w:r>
        <w:t xml:space="preserve"> </w:t>
      </w:r>
      <w:r>
        <w:t xml:space="preserve">test (assumes normal distribution)</w:t>
      </w:r>
    </w:p>
    <w:p>
      <w:pPr>
        <w:pStyle w:val="Compact"/>
        <w:numPr>
          <w:ilvl w:val="0"/>
          <w:numId w:val="1017"/>
        </w:numPr>
      </w:pPr>
      <w:r>
        <w:t xml:space="preserve">calculates a t statistic, but recalculates degrees of freedom based on sample sizes and s</w:t>
      </w:r>
    </w:p>
    <w:p>
      <w:pPr>
        <w:pStyle w:val="FirstParagraph"/>
      </w:pPr>
      <w:r>
        <w:drawing>
          <wp:inline>
            <wp:extent cx="3119357" cy="2568882"/>
            <wp:effectExtent b="0" l="0" r="0" t="0"/>
            <wp:docPr descr="" title="" id="77" name="Picture"/>
            <a:graphic>
              <a:graphicData uri="http://schemas.openxmlformats.org/drawingml/2006/picture">
                <pic:pic>
                  <pic:nvPicPr>
                    <pic:cNvPr descr="nonparametric_t_tests_lecture_files/figure-docx/unnamed-chunk-10-1.png" id="78" name="Picture"/>
                    <pic:cNvPicPr>
                      <a:picLocks noChangeArrowheads="1" noChangeAspect="1"/>
                    </pic:cNvPicPr>
                  </pic:nvPicPr>
                  <pic:blipFill>
                    <a:blip r:embed="rId76"/>
                    <a:stretch>
                      <a:fillRect/>
                    </a:stretch>
                  </pic:blipFill>
                  <pic:spPr bwMode="auto">
                    <a:xfrm>
                      <a:off x="0" y="0"/>
                      <a:ext cx="3119357" cy="2568882"/>
                    </a:xfrm>
                    <a:prstGeom prst="rect">
                      <a:avLst/>
                    </a:prstGeom>
                    <a:noFill/>
                    <a:ln w="9525">
                      <a:noFill/>
                      <a:headEnd/>
                      <a:tailEnd/>
                    </a:ln>
                  </pic:spPr>
                </pic:pic>
              </a:graphicData>
            </a:graphic>
          </wp:inline>
        </w:drawing>
      </w:r>
    </w:p>
    <w:bookmarkEnd w:id="79"/>
    <w:bookmarkStart w:id="80" w:name="X72170f3ccfaeab1936c958b316f01423ba75860"/>
    <w:p>
      <w:pPr>
        <w:pStyle w:val="Heading2"/>
      </w:pPr>
      <w:r>
        <w:t xml:space="preserve">Comparing Standard T-Test vs. Welch’s T-Test</w:t>
      </w:r>
    </w:p>
    <w:p>
      <w:pPr>
        <w:pStyle w:val="FirstParagraph"/>
      </w:pPr>
      <w:r>
        <w:t xml:space="preserve">Let’s compare a parametric t-test to a Welch’s t-test:</w:t>
      </w:r>
    </w:p>
    <w:p>
      <w:pPr>
        <w:pStyle w:val="Compact"/>
        <w:numPr>
          <w:ilvl w:val="0"/>
          <w:numId w:val="1018"/>
        </w:numPr>
      </w:pPr>
      <w:r>
        <w:t xml:space="preserve">Standard:</w:t>
      </w:r>
      <w:r>
        <w:t xml:space="preserve"> </w:t>
      </w:r>
      <w:r>
        <w:rPr>
          <w:rStyle w:val="VerbatimChar"/>
          <w:b/>
          <w:bCs/>
        </w:rPr>
        <w:t xml:space="preserve">t.test(y1, y2, var.equal = TRUE, paired = FALSE)</w:t>
      </w:r>
    </w:p>
    <w:p>
      <w:pPr>
        <w:pStyle w:val="Compact"/>
        <w:numPr>
          <w:ilvl w:val="0"/>
          <w:numId w:val="1018"/>
        </w:numPr>
      </w:pPr>
      <w:r>
        <w:t xml:space="preserve">Welch’s:</w:t>
      </w:r>
      <w:r>
        <w:t xml:space="preserve"> </w:t>
      </w:r>
      <w:r>
        <w:rPr>
          <w:rStyle w:val="VerbatimChar"/>
          <w:b/>
          <w:bCs/>
        </w:rPr>
        <w:t xml:space="preserve">t.test(y1, y2, var.equal = FALSE, paired = FALSE)</w:t>
      </w:r>
    </w:p>
    <w:p>
      <w:pPr>
        <w:pStyle w:val="SourceCode"/>
      </w:pPr>
      <w:r>
        <w:rPr>
          <w:rStyle w:val="VerbatimChar"/>
        </w:rPr>
        <w:t xml:space="preserve">[1] "Standard t-test results for mass_g:"</w:t>
      </w:r>
    </w:p>
    <w:p>
      <w:pPr>
        <w:pStyle w:val="SourceCode"/>
      </w:pPr>
      <w:r>
        <w:br/>
      </w:r>
      <w:r>
        <w:rPr>
          <w:rStyle w:val="VerbatimChar"/>
        </w:rPr>
        <w:t xml:space="preserve">    Two Sample t-test</w:t>
      </w:r>
      <w:r>
        <w:br/>
      </w:r>
      <w:r>
        <w:br/>
      </w:r>
      <w:r>
        <w:rPr>
          <w:rStyle w:val="VerbatimChar"/>
        </w:rPr>
        <w:t xml:space="preserve">data:  mass_g by lake</w:t>
      </w:r>
      <w:r>
        <w:br/>
      </w:r>
      <w:r>
        <w:rPr>
          <w:rStyle w:val="VerbatimChar"/>
        </w:rPr>
        <w:t xml:space="preserve">t = 14.181, df = 330, p-value &lt; 2.2e-16</w:t>
      </w:r>
      <w:r>
        <w:br/>
      </w:r>
      <w:r>
        <w:rPr>
          <w:rStyle w:val="VerbatimChar"/>
        </w:rPr>
        <w:t xml:space="preserve">alternative hypothesis: true difference in means between group Island Lake and group NE 12 is not equal to 0</w:t>
      </w:r>
      <w:r>
        <w:br/>
      </w:r>
      <w:r>
        <w:rPr>
          <w:rStyle w:val="VerbatimChar"/>
        </w:rPr>
        <w:t xml:space="preserve">95 percent confidence interval:</w:t>
      </w:r>
      <w:r>
        <w:br/>
      </w:r>
      <w:r>
        <w:rPr>
          <w:rStyle w:val="VerbatimChar"/>
        </w:rPr>
        <w:t xml:space="preserve"> 2266.304 2996.360</w:t>
      </w:r>
      <w:r>
        <w:br/>
      </w:r>
      <w:r>
        <w:rPr>
          <w:rStyle w:val="VerbatimChar"/>
        </w:rPr>
        <w:t xml:space="preserve">sample estimates:</w:t>
      </w:r>
      <w:r>
        <w:br/>
      </w:r>
      <w:r>
        <w:rPr>
          <w:rStyle w:val="VerbatimChar"/>
        </w:rPr>
        <w:t xml:space="preserve">mean in group Island Lake       mean in group NE 12 </w:t>
      </w:r>
      <w:r>
        <w:br/>
      </w:r>
      <w:r>
        <w:rPr>
          <w:rStyle w:val="VerbatimChar"/>
        </w:rPr>
        <w:t xml:space="preserve">                3165.0000                  533.6677 </w:t>
      </w:r>
    </w:p>
    <w:p>
      <w:pPr>
        <w:pStyle w:val="SourceCode"/>
      </w:pPr>
      <w:r>
        <w:rPr>
          <w:rStyle w:val="VerbatimChar"/>
        </w:rPr>
        <w:t xml:space="preserve">[1] "Welch's t-test results for mass_g:"</w:t>
      </w:r>
    </w:p>
    <w:p>
      <w:pPr>
        <w:pStyle w:val="SourceCode"/>
      </w:pPr>
      <w:r>
        <w:br/>
      </w:r>
      <w:r>
        <w:rPr>
          <w:rStyle w:val="VerbatimChar"/>
        </w:rPr>
        <w:t xml:space="preserve">    Welch Two Sample t-test</w:t>
      </w:r>
      <w:r>
        <w:br/>
      </w:r>
      <w:r>
        <w:br/>
      </w:r>
      <w:r>
        <w:rPr>
          <w:rStyle w:val="VerbatimChar"/>
        </w:rPr>
        <w:t xml:space="preserve">data:  mass_g by lake</w:t>
      </w:r>
      <w:r>
        <w:br/>
      </w:r>
      <w:r>
        <w:rPr>
          <w:rStyle w:val="VerbatimChar"/>
        </w:rPr>
        <w:t xml:space="preserve">t = 5.1368, df = 9.0578, p-value = 0.0006016</w:t>
      </w:r>
      <w:r>
        <w:br/>
      </w:r>
      <w:r>
        <w:rPr>
          <w:rStyle w:val="VerbatimChar"/>
        </w:rPr>
        <w:t xml:space="preserve">alternative hypothesis: true difference in means between group Island Lake and group NE 12 is not equal to 0</w:t>
      </w:r>
      <w:r>
        <w:br/>
      </w:r>
      <w:r>
        <w:rPr>
          <w:rStyle w:val="VerbatimChar"/>
        </w:rPr>
        <w:t xml:space="preserve">95 percent confidence interval:</w:t>
      </w:r>
      <w:r>
        <w:br/>
      </w:r>
      <w:r>
        <w:rPr>
          <w:rStyle w:val="VerbatimChar"/>
        </w:rPr>
        <w:t xml:space="preserve"> 1473.676 3788.989</w:t>
      </w:r>
      <w:r>
        <w:br/>
      </w:r>
      <w:r>
        <w:rPr>
          <w:rStyle w:val="VerbatimChar"/>
        </w:rPr>
        <w:t xml:space="preserve">sample estimates:</w:t>
      </w:r>
      <w:r>
        <w:br/>
      </w:r>
      <w:r>
        <w:rPr>
          <w:rStyle w:val="VerbatimChar"/>
        </w:rPr>
        <w:t xml:space="preserve">mean in group Island Lake       mean in group NE 12 </w:t>
      </w:r>
      <w:r>
        <w:br/>
      </w:r>
      <w:r>
        <w:rPr>
          <w:rStyle w:val="VerbatimChar"/>
        </w:rPr>
        <w:t xml:space="preserve">                3165.0000                  533.6677 </w:t>
      </w:r>
    </w:p>
    <w:bookmarkEnd w:id="80"/>
    <w:bookmarkStart w:id="81" w:name="part-5-rank-based-tests"/>
    <w:p>
      <w:pPr>
        <w:pStyle w:val="Heading2"/>
      </w:pPr>
      <w:r>
        <w:t xml:space="preserve">Part 5 · Rank-Based Tests</w:t>
      </w:r>
    </w:p>
    <w:bookmarkEnd w:id="81"/>
    <w:bookmarkStart w:id="84" w:name="rank-based-tests"/>
    <w:p>
      <w:pPr>
        <w:pStyle w:val="Heading2"/>
      </w:pPr>
      <w:r>
        <w:t xml:space="preserve">Rank-Based Tests</w:t>
      </w:r>
    </w:p>
    <w:p>
      <w:pPr>
        <w:pStyle w:val="FirstParagraph"/>
      </w:pPr>
      <w:r>
        <w:t xml:space="preserve">Rank-based tests: no assumptions about distribution (non-parametric).</w:t>
      </w:r>
    </w:p>
    <w:p>
      <w:pPr>
        <w:pStyle w:val="Compact"/>
        <w:numPr>
          <w:ilvl w:val="0"/>
          <w:numId w:val="1019"/>
        </w:numPr>
      </w:pPr>
      <w:r>
        <w:t xml:space="preserve">Ranks of data: observations are assigned ranks; sums (and signs, for paired tests) of ranks for groups are compared</w:t>
      </w:r>
    </w:p>
    <w:p>
      <w:pPr>
        <w:pStyle w:val="Compact"/>
        <w:numPr>
          <w:ilvl w:val="0"/>
          <w:numId w:val="1019"/>
        </w:numPr>
      </w:pPr>
      <w:r>
        <w:rPr>
          <w:b/>
          <w:bCs/>
        </w:rPr>
        <w:t xml:space="preserve">Mann-Whitney U test</w:t>
      </w:r>
      <w:r>
        <w:t xml:space="preserve"> </w:t>
      </w:r>
      <w:r>
        <w:t xml:space="preserve">— common alternative to the independent-samples t-test</w:t>
      </w:r>
    </w:p>
    <w:p>
      <w:pPr>
        <w:pStyle w:val="Compact"/>
        <w:numPr>
          <w:ilvl w:val="0"/>
          <w:numId w:val="1019"/>
        </w:numPr>
      </w:pPr>
      <w:r>
        <w:rPr>
          <w:b/>
          <w:bCs/>
        </w:rPr>
        <w:t xml:space="preserve">Wilcoxon signed-rank test</w:t>
      </w:r>
      <w:r>
        <w:t xml:space="preserve"> </w:t>
      </w:r>
      <w:r>
        <w:t xml:space="preserve">— alternative to the paired t-test</w:t>
      </w:r>
    </w:p>
    <w:p>
      <w:pPr>
        <w:pStyle w:val="Compact"/>
        <w:numPr>
          <w:ilvl w:val="0"/>
          <w:numId w:val="1019"/>
        </w:numPr>
      </w:pPr>
      <w:r>
        <w:t xml:space="preserve">Assumptions: similar distributions for groups, equal variance</w:t>
      </w:r>
    </w:p>
    <w:p>
      <w:pPr>
        <w:pStyle w:val="Compact"/>
        <w:numPr>
          <w:ilvl w:val="0"/>
          <w:numId w:val="1019"/>
        </w:numPr>
      </w:pPr>
      <w:r>
        <w:t xml:space="preserve">Less power than parametric tests</w:t>
      </w:r>
    </w:p>
    <w:p>
      <w:pPr>
        <w:pStyle w:val="Compact"/>
        <w:numPr>
          <w:ilvl w:val="0"/>
          <w:numId w:val="1019"/>
        </w:numPr>
      </w:pPr>
      <w:r>
        <w:t xml:space="preserve">Best when normality can’t be met by transformation (weird distribution) or there are large outliers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82" name="Picture"/>
                  <a:graphic>
                    <a:graphicData uri="http://schemas.openxmlformats.org/drawingml/2006/picture">
                      <pic:pic>
                        <pic:nvPicPr>
                          <pic:cNvPr descr="/Applications/Positron.app/Contents/Resources/app/quarto/share/formats/docx/note.png" id="83"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Whitlock &amp; Schluter, Ch. 13, covers the Mann-Whitney U test and Wilcoxon signed-rank test as the standard rank-based alternatives.</w:t>
            </w:r>
          </w:p>
          <w:p/>
        </w:tc>
      </w:tr>
    </w:tbl>
    <w:bookmarkEnd w:id="84"/>
    <w:bookmarkStart w:id="87" w:name="mann-whitney-u-test-results"/>
    <w:p>
      <w:pPr>
        <w:pStyle w:val="Heading2"/>
      </w:pPr>
      <w:r>
        <w:t xml:space="preserve">Mann-Whitney U Test Results</w:t>
      </w:r>
    </w:p>
    <w:p>
      <w:pPr>
        <w:pStyle w:val="SourceCode"/>
      </w:pPr>
      <w:r>
        <w:rPr>
          <w:rStyle w:val="VerbatimChar"/>
        </w:rPr>
        <w:t xml:space="preserve">[1] "Mann-Whitney U test results mass_g:"</w:t>
      </w:r>
    </w:p>
    <w:p>
      <w:pPr>
        <w:pStyle w:val="SourceCode"/>
      </w:pPr>
      <w:r>
        <w:br/>
      </w:r>
      <w:r>
        <w:rPr>
          <w:rStyle w:val="VerbatimChar"/>
        </w:rPr>
        <w:t xml:space="preserve">    Wilcoxon rank sum test with continuity correction</w:t>
      </w:r>
      <w:r>
        <w:br/>
      </w:r>
      <w:r>
        <w:br/>
      </w:r>
      <w:r>
        <w:rPr>
          <w:rStyle w:val="VerbatimChar"/>
        </w:rPr>
        <w:t xml:space="preserve">data:  mass_g by lake</w:t>
      </w:r>
      <w:r>
        <w:br/>
      </w:r>
      <w:r>
        <w:rPr>
          <w:rStyle w:val="VerbatimChar"/>
        </w:rPr>
        <w:t xml:space="preserve">W = 3205.5, p-value = 9.506e-08</w:t>
      </w:r>
      <w:r>
        <w:br/>
      </w:r>
      <w:r>
        <w:rPr>
          <w:rStyle w:val="VerbatimChar"/>
        </w:rPr>
        <w:t xml:space="preserve">alternative hypothesis: true location shift is not equal to 0</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85" name="Picture"/>
                  <a:graphic>
                    <a:graphicData uri="http://schemas.openxmlformats.org/drawingml/2006/picture">
                      <pic:pic>
                        <pic:nvPicPr>
                          <pic:cNvPr descr="/Applications/Positron.app/Contents/Resources/app/quarto/share/formats/docx/tip.png" id="86"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Notice</w:t>
            </w:r>
          </w:p>
          <w:p>
            <w:pPr>
              <w:pStyle w:val="BodyText"/>
            </w:pPr>
            <w:pPr>
              <w:spacing w:after="16"/>
            </w:pPr>
            <w:r>
              <w:t xml:space="preserve">The test statistic is</w:t>
            </w:r>
            <w:r>
              <w:t xml:space="preserve"> </w:t>
            </w:r>
            <w:r>
              <w:rPr>
                <w:rStyle w:val="VerbatimChar"/>
              </w:rPr>
              <w:t xml:space="preserve">W</w:t>
            </w:r>
            <w:r>
              <w:t xml:space="preserve">, not</w:t>
            </w:r>
            <w:r>
              <w:t xml:space="preserve"> </w:t>
            </w:r>
            <w:r>
              <w:rPr>
                <w:rStyle w:val="VerbatimChar"/>
              </w:rPr>
              <w:t xml:space="preserve">t</w:t>
            </w:r>
            <w:r>
              <w:t xml:space="preserve"> </w:t>
            </w:r>
            <w:r>
              <w:t xml:space="preserve">— a signal you’re reading rank-based test output, not a t-test.</w:t>
            </w:r>
          </w:p>
          <w:p/>
        </w:tc>
      </w:tr>
    </w:tbl>
    <w:bookmarkEnd w:id="87"/>
    <w:bookmarkStart w:id="88" w:name="part-6-permutation-tests"/>
    <w:p>
      <w:pPr>
        <w:pStyle w:val="Heading2"/>
      </w:pPr>
      <w:r>
        <w:t xml:space="preserve">Part 6 · Permutation Tests</w:t>
      </w:r>
    </w:p>
    <w:bookmarkEnd w:id="88"/>
    <w:bookmarkStart w:id="92" w:name="permutation-tests-concept"/>
    <w:p>
      <w:pPr>
        <w:pStyle w:val="Heading2"/>
      </w:pPr>
      <w:r>
        <w:t xml:space="preserve">Permutation Tests — Concept</w:t>
      </w:r>
    </w:p>
    <w:p>
      <w:pPr>
        <w:pStyle w:val="Compact"/>
        <w:numPr>
          <w:ilvl w:val="0"/>
          <w:numId w:val="1020"/>
        </w:numPr>
      </w:pPr>
      <w:r>
        <w:t xml:space="preserve">Permutation tests are based on resampling: reshuffling the original data</w:t>
      </w:r>
    </w:p>
    <w:p>
      <w:pPr>
        <w:pStyle w:val="Compact"/>
        <w:numPr>
          <w:ilvl w:val="0"/>
          <w:numId w:val="1020"/>
        </w:numPr>
      </w:pPr>
      <w:r>
        <w:t xml:space="preserve">Resampling allows parameter estimation when the distribution is unknown, including SEs and CIs of statistics (means, medians)</w:t>
      </w:r>
    </w:p>
    <w:p>
      <w:pPr>
        <w:pStyle w:val="Compact"/>
        <w:numPr>
          <w:ilvl w:val="0"/>
          <w:numId w:val="1020"/>
        </w:numPr>
      </w:pPr>
      <w:r>
        <w:t xml:space="preserve">A common approach is the bootstrap: resample with replacement many times, recalculate sample stats</w:t>
      </w:r>
    </w:p>
    <w:p>
      <w:pPr>
        <w:pStyle w:val="Compact"/>
        <w:numPr>
          <w:ilvl w:val="0"/>
          <w:numId w:val="1020"/>
        </w:numPr>
      </w:pPr>
      <w:r>
        <w:t xml:space="preserve">We use the</w:t>
      </w:r>
      <w:r>
        <w:t xml:space="preserve"> </w:t>
      </w:r>
      <w:r>
        <w:rPr>
          <w:rStyle w:val="VerbatimChar"/>
        </w:rPr>
        <w:t xml:space="preserve">perm</w:t>
      </w:r>
      <w:r>
        <w:t xml:space="preserve"> </w:t>
      </w:r>
      <w:r>
        <w:t xml:space="preserve">package</w:t>
      </w:r>
    </w:p>
    <w:p>
      <w:pPr>
        <w:pStyle w:val="Compact"/>
        <w:numPr>
          <w:ilvl w:val="0"/>
          <w:numId w:val="1020"/>
        </w:numPr>
      </w:pPr>
      <w:r>
        <w:t xml:space="preserve">H₀: µ_A = µ_B, Hₐ: µ_A ≠ µ_B</w:t>
      </w:r>
    </w:p>
    <w:p>
      <w:pPr>
        <w:pStyle w:val="Compact"/>
        <w:numPr>
          <w:ilvl w:val="0"/>
          <w:numId w:val="1020"/>
        </w:numPr>
      </w:pPr>
      <w:r>
        <w:t xml:space="preserve">Calculates the difference Δ in means between two groups</w:t>
      </w:r>
    </w:p>
    <w:p>
      <w:pPr>
        <w:pStyle w:val="FirstParagraph"/>
      </w:pPr>
      <w:r>
        <w:drawing>
          <wp:inline>
            <wp:extent cx="2935866" cy="2568882"/>
            <wp:effectExtent b="0" l="0" r="0" t="0"/>
            <wp:docPr descr="" title="" id="90" name="Picture"/>
            <a:graphic>
              <a:graphicData uri="http://schemas.openxmlformats.org/drawingml/2006/picture">
                <pic:pic>
                  <pic:nvPicPr>
                    <pic:cNvPr descr="nonparametric_t_tests_lecture_files/figure-docx/unnamed-chunk-13-1.png" id="91" name="Picture"/>
                    <pic:cNvPicPr>
                      <a:picLocks noChangeArrowheads="1" noChangeAspect="1"/>
                    </pic:cNvPicPr>
                  </pic:nvPicPr>
                  <pic:blipFill>
                    <a:blip r:embed="rId89"/>
                    <a:stretch>
                      <a:fillRect/>
                    </a:stretch>
                  </pic:blipFill>
                  <pic:spPr bwMode="auto">
                    <a:xfrm>
                      <a:off x="0" y="0"/>
                      <a:ext cx="2935866" cy="2568882"/>
                    </a:xfrm>
                    <a:prstGeom prst="rect">
                      <a:avLst/>
                    </a:prstGeom>
                    <a:noFill/>
                    <a:ln w="9525">
                      <a:noFill/>
                      <a:headEnd/>
                      <a:tailEnd/>
                    </a:ln>
                  </pic:spPr>
                </pic:pic>
              </a:graphicData>
            </a:graphic>
          </wp:inline>
        </w:drawing>
      </w:r>
    </w:p>
    <w:bookmarkEnd w:id="92"/>
    <w:bookmarkStart w:id="96" w:name="permutation-tests-method"/>
    <w:p>
      <w:pPr>
        <w:pStyle w:val="Heading2"/>
      </w:pPr>
      <w:r>
        <w:t xml:space="preserve">Permutation Tests — Method</w:t>
      </w:r>
    </w:p>
    <w:p>
      <w:pPr>
        <w:pStyle w:val="Compact"/>
        <w:numPr>
          <w:ilvl w:val="0"/>
          <w:numId w:val="1021"/>
        </w:numPr>
      </w:pPr>
      <w:r>
        <w:t xml:space="preserve">Randomly reshuffle observations between groups (keeping n₍NE 12₎ = 323 and n₍Island₎ = 10), calculate Δ</w:t>
      </w:r>
    </w:p>
    <w:p>
      <w:pPr>
        <w:pStyle w:val="Compact"/>
        <w:numPr>
          <w:ilvl w:val="0"/>
          <w:numId w:val="1021"/>
        </w:numPr>
      </w:pPr>
      <w:r>
        <w:t xml:space="preserve">Repeat &gt; 1,000 times</w:t>
      </w:r>
    </w:p>
    <w:p>
      <w:pPr>
        <w:pStyle w:val="Compact"/>
        <w:numPr>
          <w:ilvl w:val="0"/>
          <w:numId w:val="1021"/>
        </w:numPr>
      </w:pPr>
      <w:r>
        <w:t xml:space="preserve">Record the proportion of the differences in means as extreme as (or more extreme than) observed</w:t>
      </w:r>
    </w:p>
    <w:p>
      <w:pPr>
        <w:pStyle w:val="Compact"/>
        <w:numPr>
          <w:ilvl w:val="0"/>
          <w:numId w:val="1021"/>
        </w:numPr>
      </w:pPr>
      <w:r>
        <w:t xml:space="preserve">This is equivalent to a p-value, and can be used in the</w:t>
      </w:r>
      <w:r>
        <w:t xml:space="preserve"> </w:t>
      </w:r>
      <w:r>
        <w:t xml:space="preserve">“traditional”</w:t>
      </w:r>
      <w:r>
        <w:t xml:space="preserve"> </w:t>
      </w:r>
      <w:r>
        <w:t xml:space="preserve">hypothesis-testing framework</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93" name="Picture"/>
                  <a:graphic>
                    <a:graphicData uri="http://schemas.openxmlformats.org/drawingml/2006/picture">
                      <pic:pic>
                        <pic:nvPicPr>
                          <pic:cNvPr descr="/Applications/Positron.app/Contents/Resources/app/quarto/share/formats/docx/tip.png" id="94"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For a graphical explanation</w:t>
            </w:r>
          </w:p>
          <w:p>
            <w:pPr>
              <w:pStyle w:val="BodyText"/>
            </w:pPr>
            <w:pPr>
              <w:spacing w:after="16"/>
            </w:pPr>
            <w:hyperlink r:id="rId95">
              <w:r>
                <w:rPr>
                  <w:rStyle w:val="Hyperlink"/>
                </w:rPr>
                <w:t xml:space="preserve">jwilber.me/permutationtest</w:t>
              </w:r>
            </w:hyperlink>
          </w:p>
          <w:p/>
        </w:tc>
      </w:tr>
    </w:tbl>
    <w:bookmarkEnd w:id="96"/>
    <w:bookmarkStart w:id="97" w:name="permutation-test-implementation"/>
    <w:p>
      <w:pPr>
        <w:pStyle w:val="Heading2"/>
      </w:pPr>
      <w:r>
        <w:t xml:space="preserve">Permutation Test Implementation</w:t>
      </w:r>
    </w:p>
    <w:p>
      <w:pPr>
        <w:pStyle w:val="FirstParagraph"/>
      </w:pPr>
      <w:r>
        <w:t xml:space="preserve">In R, using the</w:t>
      </w:r>
      <w:r>
        <w:t xml:space="preserve"> </w:t>
      </w:r>
      <w:r>
        <w:rPr>
          <w:rStyle w:val="VerbatimChar"/>
        </w:rPr>
        <w:t xml:space="preserve">perm</w:t>
      </w:r>
      <w:r>
        <w:t xml:space="preserve"> </w:t>
      </w:r>
      <w:r>
        <w:t xml:space="preserve">package. Assumptions: both groups have a similar distribution; equal variance.</w:t>
      </w:r>
    </w:p>
    <w:p>
      <w:pPr>
        <w:pStyle w:val="SourceCode"/>
      </w:pPr>
      <w:r>
        <w:rPr>
          <w:rStyle w:val="FunctionTok"/>
        </w:rPr>
        <w:t xml:space="preserve">library</w:t>
      </w:r>
      <w:r>
        <w:rPr>
          <w:rStyle w:val="NormalTok"/>
        </w:rPr>
        <w:t xml:space="preserve">(perm)</w:t>
      </w:r>
      <w:r>
        <w:br/>
      </w:r>
      <w:r>
        <w:br/>
      </w:r>
      <w:r>
        <w:rPr>
          <w:rStyle w:val="NormalTok"/>
        </w:rPr>
        <w:t xml:space="preserve">ne12_perm_data </w:t>
      </w:r>
      <w:r>
        <w:rPr>
          <w:rStyle w:val="OtherTok"/>
        </w:rPr>
        <w:t xml:space="preserve">&lt;-</w:t>
      </w:r>
      <w:r>
        <w:rPr>
          <w:rStyle w:val="NormalTok"/>
        </w:rPr>
        <w:t xml:space="preserve"> isl_ne12_df </w:t>
      </w:r>
      <w:r>
        <w:rPr>
          <w:rStyle w:val="SpecialCharTok"/>
        </w:rPr>
        <w:t xml:space="preserve">%&gt;%</w:t>
      </w:r>
      <w:r>
        <w:br/>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"NE 12"</w:t>
      </w:r>
      <w:r>
        <w:rPr>
          <w:rStyle w:val="NormalTok"/>
        </w:rPr>
        <w:t xml:space="preserve">) </w:t>
      </w:r>
      <w:r>
        <w:rPr>
          <w:rStyle w:val="SpecialCharTok"/>
        </w:rPr>
        <w:t xml:space="preserve">%&gt;%</w:t>
      </w:r>
      <w:r>
        <w:br/>
      </w:r>
      <w:r>
        <w:rPr>
          <w:rStyle w:val="NormalTok"/>
        </w:rPr>
        <w:t xml:space="preserve">  </w:t>
      </w:r>
      <w:r>
        <w:rPr>
          <w:rStyle w:val="FunctionTok"/>
        </w:rPr>
        <w:t xml:space="preserve">pull</w:t>
      </w:r>
      <w:r>
        <w:rPr>
          <w:rStyle w:val="NormalTok"/>
        </w:rPr>
        <w:t xml:space="preserve">(length_mm)</w:t>
      </w:r>
      <w:r>
        <w:br/>
      </w:r>
      <w:r>
        <w:br/>
      </w:r>
      <w:r>
        <w:rPr>
          <w:rStyle w:val="CommentTok"/>
        </w:rPr>
        <w:t xml:space="preserve"># Randomly sample exactly 25 observations from NE 12</w:t>
      </w:r>
      <w:r>
        <w:br/>
      </w:r>
      <w:r>
        <w:rPr>
          <w:rStyle w:val="FunctionTok"/>
        </w:rPr>
        <w:t xml:space="preserve">set.seed</w:t>
      </w:r>
      <w:r>
        <w:rPr>
          <w:rStyle w:val="NormalTok"/>
        </w:rPr>
        <w:t xml:space="preserve">(</w:t>
      </w:r>
      <w:r>
        <w:rPr>
          <w:rStyle w:val="DecValTok"/>
        </w:rPr>
        <w:t xml:space="preserve">123</w:t>
      </w:r>
      <w:r>
        <w:rPr>
          <w:rStyle w:val="NormalTok"/>
        </w:rPr>
        <w:t xml:space="preserve">)</w:t>
      </w:r>
      <w:r>
        <w:br/>
      </w:r>
      <w:r>
        <w:rPr>
          <w:rStyle w:val="NormalTok"/>
        </w:rPr>
        <w:t xml:space="preserve">ne12_perm_data </w:t>
      </w:r>
      <w:r>
        <w:rPr>
          <w:rStyle w:val="OtherTok"/>
        </w:rPr>
        <w:t xml:space="preserve">&lt;-</w:t>
      </w:r>
      <w:r>
        <w:rPr>
          <w:rStyle w:val="NormalTok"/>
        </w:rPr>
        <w:t xml:space="preserve"> </w:t>
      </w:r>
      <w:r>
        <w:rPr>
          <w:rStyle w:val="FunctionTok"/>
        </w:rPr>
        <w:t xml:space="preserve">sample</w:t>
      </w:r>
      <w:r>
        <w:rPr>
          <w:rStyle w:val="NormalTok"/>
        </w:rPr>
        <w:t xml:space="preserve">(ne12_perm_data, </w:t>
      </w:r>
      <w:r>
        <w:rPr>
          <w:rStyle w:val="AttributeTok"/>
        </w:rPr>
        <w:t xml:space="preserve">size =</w:t>
      </w:r>
      <w:r>
        <w:rPr>
          <w:rStyle w:val="NormalTok"/>
        </w:rPr>
        <w:t xml:space="preserve"> </w:t>
      </w:r>
      <w:r>
        <w:rPr>
          <w:rStyle w:val="DecValTok"/>
        </w:rPr>
        <w:t xml:space="preserve">25</w:t>
      </w:r>
      <w:r>
        <w:rPr>
          <w:rStyle w:val="NormalTok"/>
        </w:rPr>
        <w:t xml:space="preserve">, </w:t>
      </w:r>
      <w:r>
        <w:rPr>
          <w:rStyle w:val="AttributeTok"/>
        </w:rPr>
        <w:t xml:space="preserve">replace =</w:t>
      </w:r>
      <w:r>
        <w:rPr>
          <w:rStyle w:val="NormalTok"/>
        </w:rPr>
        <w:t xml:space="preserve"> </w:t>
      </w:r>
      <w:r>
        <w:rPr>
          <w:rStyle w:val="ConstantTok"/>
        </w:rPr>
        <w:t xml:space="preserve">FALSE</w:t>
      </w:r>
      <w:r>
        <w:rPr>
          <w:rStyle w:val="NormalTok"/>
        </w:rPr>
        <w:t xml:space="preserve">)</w:t>
      </w:r>
      <w:r>
        <w:br/>
      </w:r>
      <w:r>
        <w:br/>
      </w:r>
      <w:r>
        <w:rPr>
          <w:rStyle w:val="NormalTok"/>
        </w:rPr>
        <w:t xml:space="preserve">island_perm_data </w:t>
      </w:r>
      <w:r>
        <w:rPr>
          <w:rStyle w:val="OtherTok"/>
        </w:rPr>
        <w:t xml:space="preserve">&lt;-</w:t>
      </w:r>
      <w:r>
        <w:rPr>
          <w:rStyle w:val="NormalTok"/>
        </w:rPr>
        <w:t xml:space="preserve"> isl_ne12_df </w:t>
      </w:r>
      <w:r>
        <w:rPr>
          <w:rStyle w:val="SpecialCharTok"/>
        </w:rPr>
        <w:t xml:space="preserve">%&gt;%</w:t>
      </w:r>
      <w:r>
        <w:br/>
      </w:r>
      <w:r>
        <w:rPr>
          <w:rStyle w:val="NormalTok"/>
        </w:rPr>
        <w:t xml:space="preserve">  </w:t>
      </w:r>
      <w:r>
        <w:rPr>
          <w:rStyle w:val="FunctionTok"/>
        </w:rPr>
        <w:t xml:space="preserve">filter</w:t>
      </w:r>
      <w:r>
        <w:rPr>
          <w:rStyle w:val="NormalTok"/>
        </w:rPr>
        <w:t xml:space="preserve">(lake </w:t>
      </w:r>
      <w:r>
        <w:rPr>
          <w:rStyle w:val="SpecialCharTok"/>
        </w:rPr>
        <w:t xml:space="preserve">==</w:t>
      </w:r>
      <w:r>
        <w:rPr>
          <w:rStyle w:val="NormalTok"/>
        </w:rPr>
        <w:t xml:space="preserve"> </w:t>
      </w:r>
      <w:r>
        <w:rPr>
          <w:rStyle w:val="StringTok"/>
        </w:rPr>
        <w:t xml:space="preserve">"Island Lake"</w:t>
      </w:r>
      <w:r>
        <w:rPr>
          <w:rStyle w:val="NormalTok"/>
        </w:rPr>
        <w:t xml:space="preserve">) </w:t>
      </w:r>
      <w:r>
        <w:rPr>
          <w:rStyle w:val="SpecialCharTok"/>
        </w:rPr>
        <w:t xml:space="preserve">%&gt;%</w:t>
      </w:r>
      <w:r>
        <w:br/>
      </w:r>
      <w:r>
        <w:rPr>
          <w:rStyle w:val="NormalTok"/>
        </w:rPr>
        <w:t xml:space="preserve">  </w:t>
      </w:r>
      <w:r>
        <w:rPr>
          <w:rStyle w:val="FunctionTok"/>
        </w:rPr>
        <w:t xml:space="preserve">pull</w:t>
      </w:r>
      <w:r>
        <w:rPr>
          <w:rStyle w:val="NormalTok"/>
        </w:rPr>
        <w:t xml:space="preserve">(length_mm)</w:t>
      </w:r>
      <w:r>
        <w:br/>
      </w:r>
      <w:r>
        <w:br/>
      </w:r>
      <w:r>
        <w:rPr>
          <w:rStyle w:val="NormalTok"/>
        </w:rPr>
        <w:t xml:space="preserve">observed_diff </w:t>
      </w:r>
      <w:r>
        <w:rPr>
          <w:rStyle w:val="OtherTok"/>
        </w:rPr>
        <w:t xml:space="preserve">&lt;-</w:t>
      </w:r>
      <w:r>
        <w:rPr>
          <w:rStyle w:val="NormalTok"/>
        </w:rPr>
        <w:t xml:space="preserve"> </w:t>
      </w:r>
      <w:r>
        <w:rPr>
          <w:rStyle w:val="FunctionTok"/>
        </w:rPr>
        <w:t xml:space="preserve">mean</w:t>
      </w:r>
      <w:r>
        <w:rPr>
          <w:rStyle w:val="NormalTok"/>
        </w:rPr>
        <w:t xml:space="preserve">(ne12_perm_data,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SpecialCharTok"/>
        </w:rPr>
        <w:t xml:space="preserve">-</w:t>
      </w:r>
      <w:r>
        <w:rPr>
          <w:rStyle w:val="NormalTok"/>
        </w:rPr>
        <w:t xml:space="preserve"> </w:t>
      </w:r>
      <w:r>
        <w:rPr>
          <w:rStyle w:val="FunctionTok"/>
        </w:rPr>
        <w:t xml:space="preserve">mean</w:t>
      </w:r>
      <w:r>
        <w:rPr>
          <w:rStyle w:val="NormalTok"/>
        </w:rPr>
        <w:t xml:space="preserve">(island_perm_data, </w:t>
      </w:r>
      <w:r>
        <w:rPr>
          <w:rStyle w:val="AttributeTok"/>
        </w:rPr>
        <w:t xml:space="preserve">na.rm =</w:t>
      </w:r>
      <w:r>
        <w:rPr>
          <w:rStyle w:val="NormalTok"/>
        </w:rPr>
        <w:t xml:space="preserve"> </w:t>
      </w:r>
      <w:r>
        <w:rPr>
          <w:rStyle w:val="ConstantTok"/>
        </w:rPr>
        <w:t xml:space="preserve">TRUE</w:t>
      </w:r>
      <w:r>
        <w:rPr>
          <w:rStyle w:val="NormalTok"/>
        </w:rPr>
        <w:t xml:space="preserve">)</w:t>
      </w:r>
    </w:p>
    <w:p>
      <w:pPr>
        <w:pStyle w:val="SourceCode"/>
      </w:pPr>
      <w:r>
        <w:rPr>
          <w:rStyle w:val="FunctionTok"/>
        </w:rPr>
        <w:t xml:space="preserve">permTS</w:t>
      </w:r>
      <w:r>
        <w:rPr>
          <w:rStyle w:val="NormalTok"/>
        </w:rPr>
        <w:t xml:space="preserve">(ne12_perm_data, island_perm_data,</w:t>
      </w:r>
      <w:r>
        <w:br/>
      </w:r>
      <w:r>
        <w:rPr>
          <w:rStyle w:val="NormalTok"/>
        </w:rPr>
        <w:t xml:space="preserve">       </w:t>
      </w:r>
      <w:r>
        <w:rPr>
          <w:rStyle w:val="AttributeTok"/>
        </w:rPr>
        <w:t xml:space="preserve">alternative =</w:t>
      </w:r>
      <w:r>
        <w:rPr>
          <w:rStyle w:val="NormalTok"/>
        </w:rPr>
        <w:t xml:space="preserve"> </w:t>
      </w:r>
      <w:r>
        <w:rPr>
          <w:rStyle w:val="StringTok"/>
        </w:rPr>
        <w:t xml:space="preserve">"two.sided"</w:t>
      </w:r>
      <w:r>
        <w:rPr>
          <w:rStyle w:val="NormalTok"/>
        </w:rPr>
        <w:t xml:space="preserve">,</w:t>
      </w:r>
      <w:r>
        <w:br/>
      </w:r>
      <w:r>
        <w:rPr>
          <w:rStyle w:val="NormalTok"/>
        </w:rPr>
        <w:t xml:space="preserve">       </w:t>
      </w:r>
      <w:r>
        <w:rPr>
          <w:rStyle w:val="AttributeTok"/>
        </w:rPr>
        <w:t xml:space="preserve">method =</w:t>
      </w:r>
      <w:r>
        <w:rPr>
          <w:rStyle w:val="NormalTok"/>
        </w:rPr>
        <w:t xml:space="preserve"> </w:t>
      </w:r>
      <w:r>
        <w:rPr>
          <w:rStyle w:val="StringTok"/>
        </w:rPr>
        <w:t xml:space="preserve">"exact.mc"</w:t>
      </w:r>
      <w:r>
        <w:rPr>
          <w:rStyle w:val="NormalTok"/>
        </w:rPr>
        <w:t xml:space="preserve">,</w:t>
      </w:r>
      <w:r>
        <w:br/>
      </w:r>
      <w:r>
        <w:rPr>
          <w:rStyle w:val="NormalTok"/>
        </w:rPr>
        <w:t xml:space="preserve">       </w:t>
      </w:r>
      <w:r>
        <w:rPr>
          <w:rStyle w:val="AttributeTok"/>
        </w:rPr>
        <w:t xml:space="preserve">control =</w:t>
      </w:r>
      <w:r>
        <w:rPr>
          <w:rStyle w:val="NormalTok"/>
        </w:rPr>
        <w:t xml:space="preserve"> </w:t>
      </w:r>
      <w:r>
        <w:rPr>
          <w:rStyle w:val="FunctionTok"/>
        </w:rPr>
        <w:t xml:space="preserve">permControl</w:t>
      </w:r>
      <w:r>
        <w:rPr>
          <w:rStyle w:val="NormalTok"/>
        </w:rPr>
        <w:t xml:space="preserve">(</w:t>
      </w:r>
      <w:r>
        <w:rPr>
          <w:rStyle w:val="AttributeTok"/>
        </w:rPr>
        <w:t xml:space="preserve">nmc =</w:t>
      </w:r>
      <w:r>
        <w:rPr>
          <w:rStyle w:val="NormalTok"/>
        </w:rPr>
        <w:t xml:space="preserve"> </w:t>
      </w:r>
      <w:r>
        <w:rPr>
          <w:rStyle w:val="DecValTok"/>
        </w:rPr>
        <w:t xml:space="preserve">10000</w:t>
      </w:r>
      <w:r>
        <w:rPr>
          <w:rStyle w:val="NormalTok"/>
        </w:rPr>
        <w:t xml:space="preserve">))</w:t>
      </w:r>
    </w:p>
    <w:p>
      <w:pPr>
        <w:pStyle w:val="SourceCode"/>
      </w:pPr>
      <w:r>
        <w:br/>
      </w:r>
      <w:r>
        <w:rPr>
          <w:rStyle w:val="VerbatimChar"/>
        </w:rPr>
        <w:t xml:space="preserve">    Exact Permutation Test Estimated by Monte Carlo</w:t>
      </w:r>
      <w:r>
        <w:br/>
      </w:r>
      <w:r>
        <w:br/>
      </w:r>
      <w:r>
        <w:rPr>
          <w:rStyle w:val="VerbatimChar"/>
        </w:rPr>
        <w:t xml:space="preserve">data:  GROUP 1 and GROUP 2</w:t>
      </w:r>
      <w:r>
        <w:br/>
      </w:r>
      <w:r>
        <w:rPr>
          <w:rStyle w:val="VerbatimChar"/>
        </w:rPr>
        <w:t xml:space="preserve">p-value = 2e-04</w:t>
      </w:r>
      <w:r>
        <w:br/>
      </w:r>
      <w:r>
        <w:rPr>
          <w:rStyle w:val="VerbatimChar"/>
        </w:rPr>
        <w:t xml:space="preserve">alternative hypothesis: true mean GROUP 1 - mean GROUP 2 is not equal to 0</w:t>
      </w:r>
      <w:r>
        <w:br/>
      </w:r>
      <w:r>
        <w:rPr>
          <w:rStyle w:val="VerbatimChar"/>
        </w:rPr>
        <w:t xml:space="preserve">sample estimates:</w:t>
      </w:r>
      <w:r>
        <w:br/>
      </w:r>
      <w:r>
        <w:rPr>
          <w:rStyle w:val="VerbatimChar"/>
        </w:rPr>
        <w:t xml:space="preserve">mean GROUP 1 - mean GROUP 2 </w:t>
      </w:r>
      <w:r>
        <w:br/>
      </w:r>
      <w:r>
        <w:rPr>
          <w:rStyle w:val="VerbatimChar"/>
        </w:rPr>
        <w:t xml:space="preserve">                    -333.08 </w:t>
      </w:r>
      <w:r>
        <w:br/>
      </w:r>
      <w:r>
        <w:br/>
      </w:r>
      <w:r>
        <w:rPr>
          <w:rStyle w:val="VerbatimChar"/>
        </w:rPr>
        <w:t xml:space="preserve">p-value estimated from 10000 Monte Carlo replications</w:t>
      </w:r>
      <w:r>
        <w:br/>
      </w:r>
      <w:r>
        <w:rPr>
          <w:rStyle w:val="VerbatimChar"/>
        </w:rPr>
        <w:t xml:space="preserve">99 percent confidence interval on p-value:</w:t>
      </w:r>
      <w:r>
        <w:br/>
      </w:r>
      <w:r>
        <w:rPr>
          <w:rStyle w:val="VerbatimChar"/>
        </w:rPr>
        <w:t xml:space="preserve"> 0.000000000 0.001059383 </w:t>
      </w:r>
    </w:p>
    <w:bookmarkEnd w:id="97"/>
    <w:bookmarkStart w:id="98" w:name="part-7-summary"/>
    <w:p>
      <w:pPr>
        <w:pStyle w:val="Heading2"/>
      </w:pPr>
      <w:r>
        <w:t xml:space="preserve">Part 7 · Summary</w:t>
      </w:r>
    </w:p>
    <w:bookmarkEnd w:id="98"/>
    <w:bookmarkStart w:id="101" w:name="summary-testing-assumptions"/>
    <w:p>
      <w:pPr>
        <w:pStyle w:val="Heading2"/>
      </w:pPr>
      <w:r>
        <w:t xml:space="preserve">Summary — Testing Assumptions</w:t>
      </w:r>
    </w:p>
    <w:p>
      <w:pPr>
        <w:pStyle w:val="FirstParagraph"/>
      </w:pPr>
      <w:r>
        <w:rPr>
          <w:b/>
          <w:bCs/>
        </w:rPr>
        <w:t xml:space="preserve">Key assumptions:</w:t>
      </w:r>
    </w:p>
    <w:p>
      <w:pPr>
        <w:pStyle w:val="Compact"/>
        <w:numPr>
          <w:ilvl w:val="0"/>
          <w:numId w:val="1022"/>
        </w:numPr>
      </w:pPr>
      <w:r>
        <w:rPr>
          <w:b/>
          <w:bCs/>
        </w:rPr>
        <w:t xml:space="preserve">Random sampling</w:t>
      </w:r>
      <w:r>
        <w:t xml:space="preserve"> </w:t>
      </w:r>
      <w:r>
        <w:t xml:space="preserve">— samples are randomly collected from populations</w:t>
      </w:r>
    </w:p>
    <w:p>
      <w:pPr>
        <w:pStyle w:val="Compact"/>
        <w:numPr>
          <w:ilvl w:val="0"/>
          <w:numId w:val="1022"/>
        </w:numPr>
      </w:pPr>
      <w:r>
        <w:rPr>
          <w:b/>
          <w:bCs/>
        </w:rPr>
        <w:t xml:space="preserve">Normality</w:t>
      </w:r>
      <w:r>
        <w:t xml:space="preserve"> </w:t>
      </w:r>
      <w:r>
        <w:t xml:space="preserve">— data follows a normal distribution</w:t>
      </w:r>
    </w:p>
    <w:p>
      <w:pPr>
        <w:pStyle w:val="Compact"/>
        <w:numPr>
          <w:ilvl w:val="0"/>
          <w:numId w:val="1022"/>
        </w:numPr>
      </w:pPr>
      <w:r>
        <w:rPr>
          <w:b/>
          <w:bCs/>
        </w:rPr>
        <w:t xml:space="preserve">Equal variance</w:t>
      </w:r>
      <w:r>
        <w:t xml:space="preserve"> </w:t>
      </w:r>
      <w:r>
        <w:t xml:space="preserve">— samples come from populations with similar variability</w:t>
      </w:r>
    </w:p>
    <w:p>
      <w:pPr>
        <w:pStyle w:val="Compact"/>
        <w:numPr>
          <w:ilvl w:val="0"/>
          <w:numId w:val="1022"/>
        </w:numPr>
      </w:pPr>
      <w:r>
        <w:rPr>
          <w:b/>
          <w:bCs/>
        </w:rPr>
        <w:t xml:space="preserve">No outliers</w:t>
      </w:r>
      <w:r>
        <w:t xml:space="preserve"> </w:t>
      </w:r>
      <w:r>
        <w:t xml:space="preserve">— no extreme values that can skew results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99" name="Picture"/>
                  <a:graphic>
                    <a:graphicData uri="http://schemas.openxmlformats.org/drawingml/2006/picture">
                      <pic:pic>
                        <pic:nvPicPr>
                          <pic:cNvPr descr="/Applications/Positron.app/Contents/Resources/app/quarto/share/formats/docx/note.png" id="100"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Assessing assumptions</w:t>
            </w:r>
          </w:p>
          <w:p>
            <w:pPr>
              <w:pStyle w:val="Compact"/>
              <w:numPr>
                <w:ilvl w:val="0"/>
                <w:numId w:val="1023"/>
              </w:numPr>
            </w:pPr>
            <w:r>
              <w:t xml:space="preserve">Key to do</w:t>
            </w:r>
            <w:r>
              <w:t xml:space="preserve"> </w:t>
            </w:r>
            <w:r>
              <w:rPr>
                <w:i/>
                <w:iCs/>
              </w:rPr>
              <w:t xml:space="preserve">every time</w:t>
            </w:r>
          </w:p>
          <w:p>
            <w:pPr>
              <w:pStyle w:val="Compact"/>
              <w:numPr>
                <w:ilvl w:val="0"/>
                <w:numId w:val="1023"/>
              </w:numPr>
            </w:pPr>
            <w:r>
              <w:t xml:space="preserve">Should be acknowledged in the manuscript</w:t>
            </w:r>
          </w:p>
          <w:p/>
        </w:tc>
      </w:tr>
    </w:tbl>
    <w:bookmarkEnd w:id="101"/>
    <w:bookmarkStart w:id="104" w:name="summary-data-transformations"/>
    <w:p>
      <w:pPr>
        <w:pStyle w:val="Heading2"/>
      </w:pPr>
      <w:r>
        <w:t xml:space="preserve">Summary — Data Transformations</w:t>
      </w:r>
    </w:p>
    <w:p>
      <w:pPr>
        <w:pStyle w:val="FirstParagraph"/>
      </w:pPr>
      <w:r>
        <w:t xml:space="preserve">When assumptions aren’t met, transformations may help normalize data:</w:t>
      </w:r>
    </w:p>
    <w:p>
      <w:pPr>
        <w:pStyle w:val="Compact"/>
        <w:numPr>
          <w:ilvl w:val="0"/>
          <w:numId w:val="1024"/>
        </w:numPr>
      </w:pPr>
      <w:r>
        <w:rPr>
          <w:b/>
          <w:bCs/>
        </w:rPr>
        <w:t xml:space="preserve">Log transformation:</w:t>
      </w:r>
      <w:r>
        <w:t xml:space="preserve"> </w:t>
      </w:r>
      <w:r>
        <w:rPr>
          <w:rStyle w:val="VerbatimChar"/>
        </w:rPr>
        <w:t xml:space="preserve">log10(x)</w:t>
      </w:r>
      <w:r>
        <w:t xml:space="preserve"> </w:t>
      </w:r>
      <w:r>
        <w:t xml:space="preserve">— useful for right-skewed data, multiplicative effects</w:t>
      </w:r>
    </w:p>
    <w:p>
      <w:pPr>
        <w:pStyle w:val="Compact"/>
        <w:numPr>
          <w:ilvl w:val="0"/>
          <w:numId w:val="1024"/>
        </w:numPr>
      </w:pPr>
      <w:r>
        <w:rPr>
          <w:b/>
          <w:bCs/>
        </w:rPr>
        <w:t xml:space="preserve">Square root:</w:t>
      </w:r>
      <w:r>
        <w:t xml:space="preserve"> </w:t>
      </w:r>
      <w:r>
        <w:rPr>
          <w:rStyle w:val="VerbatimChar"/>
        </w:rPr>
        <w:t xml:space="preserve">sqrt(x)</w:t>
      </w:r>
      <w:r>
        <w:t xml:space="preserve"> </w:t>
      </w:r>
      <w:r>
        <w:t xml:space="preserve">— useful for count data, moderately right-skewed distributions</w:t>
      </w:r>
    </w:p>
    <w:p>
      <w:pPr>
        <w:pStyle w:val="Compact"/>
        <w:numPr>
          <w:ilvl w:val="0"/>
          <w:numId w:val="1024"/>
        </w:numPr>
      </w:pPr>
      <w:r>
        <w:rPr>
          <w:b/>
          <w:bCs/>
        </w:rPr>
        <w:t xml:space="preserve">Box-Cox:</w:t>
      </w:r>
      <w:r>
        <w:t xml:space="preserve"> </w:t>
      </w:r>
      <w:r>
        <w:t xml:space="preserve">a more flexible family of power transformations</w:t>
      </w:r>
    </w:p>
    <w:p>
      <w:pPr>
        <w:pStyle w:val="Compact"/>
        <w:numPr>
          <w:ilvl w:val="0"/>
          <w:numId w:val="1024"/>
        </w:numPr>
      </w:pPr>
      <w:r>
        <w:t xml:space="preserve">More specialized transformations exist, especially for percentages or proportions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02" name="Picture"/>
                  <a:graphic>
                    <a:graphicData uri="http://schemas.openxmlformats.org/drawingml/2006/picture">
                      <pic:pic>
                        <pic:nvPicPr>
                          <pic:cNvPr descr="/Applications/Positron.app/Contents/Resources/app/quarto/share/formats/docx/tip.png" id="103" name="Picture"/>
                          <pic:cNvPicPr>
                            <a:picLocks noChangeArrowheads="1" noChangeAspect="1"/>
                          </pic:cNvPicPr>
                        </pic:nvPicPr>
                        <pic:blipFill>
                          <a:blip r:embed="rId21"/>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Recall</w:t>
            </w:r>
          </w:p>
          <w:p>
            <w:pPr>
              <w:pStyle w:val="BodyText"/>
            </w:pPr>
            <w:pPr>
              <w:spacing w:after="16"/>
            </w:pPr>
            <w:r>
              <w:t xml:space="preserve">We saw</w:t>
            </w:r>
            <w:r>
              <w:t xml:space="preserve"> </w:t>
            </w:r>
            <w:r>
              <w:rPr>
                <w:rStyle w:val="VerbatimChar"/>
              </w:rPr>
              <w:t xml:space="preserve">log10()</w:t>
            </w:r>
            <w:r>
              <w:t xml:space="preserve"> </w:t>
            </w:r>
            <w:r>
              <w:t xml:space="preserve">shrink the gap between the NE 12 and Island Lake boxplots earlier — that’s the transformation working.</w:t>
            </w:r>
          </w:p>
          <w:p/>
        </w:tc>
      </w:tr>
    </w:tbl>
    <w:bookmarkEnd w:id="104"/>
    <w:bookmarkStart w:id="105" w:name="summary-parametric-test-options"/>
    <w:p>
      <w:pPr>
        <w:pStyle w:val="Heading2"/>
      </w:pPr>
      <w:r>
        <w:t xml:space="preserve">Summary — Parametric Test Options</w:t>
      </w:r>
    </w:p>
    <w:p>
      <w:pPr>
        <w:pStyle w:val="FirstParagraph"/>
      </w:pPr>
      <w:r>
        <w:rPr>
          <w:b/>
          <w:bCs/>
        </w:rPr>
        <w:t xml:space="preserve">1. Standard t-test</w:t>
      </w:r>
    </w:p>
    <w:p>
      <w:pPr>
        <w:pStyle w:val="BodyText"/>
      </w:pPr>
      <w:r>
        <w:t xml:space="preserve">Strengths:</w:t>
      </w:r>
    </w:p>
    <w:p>
      <w:pPr>
        <w:pStyle w:val="Compact"/>
        <w:numPr>
          <w:ilvl w:val="0"/>
          <w:numId w:val="1025"/>
        </w:numPr>
      </w:pPr>
      <w:r>
        <w:t xml:space="preserve">High statistical power when assumptions are met</w:t>
      </w:r>
    </w:p>
    <w:p>
      <w:pPr>
        <w:pStyle w:val="Compact"/>
        <w:numPr>
          <w:ilvl w:val="0"/>
          <w:numId w:val="1025"/>
        </w:numPr>
      </w:pPr>
      <w:r>
        <w:t xml:space="preserve">Well understood and widely accepted</w:t>
      </w:r>
    </w:p>
    <w:p>
      <w:pPr>
        <w:pStyle w:val="FirstParagraph"/>
      </w:pPr>
      <w:r>
        <w:t xml:space="preserve">Weaknesses:</w:t>
      </w:r>
    </w:p>
    <w:p>
      <w:pPr>
        <w:pStyle w:val="Compact"/>
        <w:numPr>
          <w:ilvl w:val="0"/>
          <w:numId w:val="1026"/>
        </w:numPr>
      </w:pPr>
      <w:r>
        <w:t xml:space="preserve">Sensitive to violations of normality, equal variance</w:t>
      </w:r>
    </w:p>
    <w:p>
      <w:pPr>
        <w:pStyle w:val="Compact"/>
        <w:numPr>
          <w:ilvl w:val="0"/>
          <w:numId w:val="1026"/>
        </w:numPr>
      </w:pPr>
      <w:r>
        <w:t xml:space="preserve">Heavily influenced by outliers</w:t>
      </w:r>
    </w:p>
    <w:p>
      <w:pPr>
        <w:pStyle w:val="FirstParagraph"/>
      </w:pPr>
      <w:r>
        <w:rPr>
          <w:b/>
          <w:bCs/>
        </w:rPr>
        <w:t xml:space="preserve">2. Welch’s t-test</w:t>
      </w:r>
    </w:p>
    <w:p>
      <w:pPr>
        <w:pStyle w:val="BodyText"/>
      </w:pPr>
      <w:r>
        <w:t xml:space="preserve">Strengths:</w:t>
      </w:r>
    </w:p>
    <w:p>
      <w:pPr>
        <w:pStyle w:val="Compact"/>
        <w:numPr>
          <w:ilvl w:val="0"/>
          <w:numId w:val="1027"/>
        </w:numPr>
      </w:pPr>
      <w:r>
        <w:t xml:space="preserve">Robust to violations of the equal-variance assumption</w:t>
      </w:r>
    </w:p>
    <w:p>
      <w:pPr>
        <w:pStyle w:val="Compact"/>
        <w:numPr>
          <w:ilvl w:val="0"/>
          <w:numId w:val="1027"/>
        </w:numPr>
      </w:pPr>
      <w:r>
        <w:t xml:space="preserve">Handles unequal sample sizes well</w:t>
      </w:r>
    </w:p>
    <w:p>
      <w:pPr>
        <w:pStyle w:val="Compact"/>
        <w:numPr>
          <w:ilvl w:val="0"/>
          <w:numId w:val="1027"/>
        </w:numPr>
      </w:pPr>
      <w:r>
        <w:t xml:space="preserve">Still parametric (assumes normality)</w:t>
      </w:r>
    </w:p>
    <w:p>
      <w:pPr>
        <w:pStyle w:val="FirstParagraph"/>
      </w:pPr>
      <w:r>
        <w:t xml:space="preserve">Weaknesses:</w:t>
      </w:r>
    </w:p>
    <w:p>
      <w:pPr>
        <w:pStyle w:val="Compact"/>
        <w:numPr>
          <w:ilvl w:val="0"/>
          <w:numId w:val="1028"/>
        </w:numPr>
      </w:pPr>
      <w:r>
        <w:t xml:space="preserve">Slightly less powerful than the standard t-test when variances are equal</w:t>
      </w:r>
    </w:p>
    <w:p>
      <w:pPr>
        <w:pStyle w:val="Compact"/>
        <w:numPr>
          <w:ilvl w:val="0"/>
          <w:numId w:val="1028"/>
        </w:numPr>
      </w:pPr>
      <w:r>
        <w:t xml:space="preserve">Still assumes a normal distribution</w:t>
      </w:r>
    </w:p>
    <w:bookmarkEnd w:id="105"/>
    <w:bookmarkStart w:id="106" w:name="summary-non-parametric-options"/>
    <w:p>
      <w:pPr>
        <w:pStyle w:val="Heading2"/>
      </w:pPr>
      <w:r>
        <w:t xml:space="preserve">Summary — Non-Parametric Options</w:t>
      </w:r>
    </w:p>
    <w:p>
      <w:pPr>
        <w:pStyle w:val="FirstParagraph"/>
      </w:pPr>
      <w:r>
        <w:rPr>
          <w:b/>
          <w:bCs/>
        </w:rPr>
        <w:t xml:space="preserve">3. Mann-Whitney-Wilcoxon test</w:t>
      </w:r>
    </w:p>
    <w:p>
      <w:pPr>
        <w:pStyle w:val="BodyText"/>
      </w:pPr>
      <w:r>
        <w:t xml:space="preserve">Strengths:</w:t>
      </w:r>
    </w:p>
    <w:p>
      <w:pPr>
        <w:pStyle w:val="Compact"/>
        <w:numPr>
          <w:ilvl w:val="0"/>
          <w:numId w:val="1029"/>
        </w:numPr>
      </w:pPr>
      <w:r>
        <w:t xml:space="preserve">Non-parametric: doesn’t assume normal distribution</w:t>
      </w:r>
    </w:p>
    <w:p>
      <w:pPr>
        <w:pStyle w:val="Compact"/>
        <w:numPr>
          <w:ilvl w:val="0"/>
          <w:numId w:val="1029"/>
        </w:numPr>
      </w:pPr>
      <w:r>
        <w:t xml:space="preserve">Robust against outliers</w:t>
      </w:r>
    </w:p>
    <w:p>
      <w:pPr>
        <w:pStyle w:val="Compact"/>
        <w:numPr>
          <w:ilvl w:val="0"/>
          <w:numId w:val="1029"/>
        </w:numPr>
      </w:pPr>
      <w:r>
        <w:t xml:space="preserve">Works with ordinal data</w:t>
      </w:r>
    </w:p>
    <w:p>
      <w:pPr>
        <w:pStyle w:val="FirstParagraph"/>
      </w:pPr>
      <w:r>
        <w:t xml:space="preserve">Weaknesses:</w:t>
      </w:r>
    </w:p>
    <w:p>
      <w:pPr>
        <w:pStyle w:val="Compact"/>
        <w:numPr>
          <w:ilvl w:val="0"/>
          <w:numId w:val="1030"/>
        </w:numPr>
      </w:pPr>
      <w:r>
        <w:t xml:space="preserve">Less statistical power than parametric tests</w:t>
      </w:r>
    </w:p>
    <w:p>
      <w:pPr>
        <w:pStyle w:val="Compact"/>
        <w:numPr>
          <w:ilvl w:val="0"/>
          <w:numId w:val="1030"/>
        </w:numPr>
      </w:pPr>
      <w:r>
        <w:t xml:space="preserve">Still assumes similar distributions and approximately equal variance</w:t>
      </w:r>
    </w:p>
    <w:p>
      <w:pPr>
        <w:pStyle w:val="Compact"/>
        <w:numPr>
          <w:ilvl w:val="0"/>
          <w:numId w:val="1030"/>
        </w:numPr>
      </w:pPr>
      <w:r>
        <w:t xml:space="preserve">Tests median differences rather than mean differences</w:t>
      </w:r>
    </w:p>
    <w:p>
      <w:pPr>
        <w:pStyle w:val="FirstParagraph"/>
      </w:pPr>
      <w:r>
        <w:rPr>
          <w:b/>
          <w:bCs/>
        </w:rPr>
        <w:t xml:space="preserve">4. Permutation tests</w:t>
      </w:r>
    </w:p>
    <w:p>
      <w:pPr>
        <w:pStyle w:val="BodyText"/>
      </w:pPr>
      <w:r>
        <w:t xml:space="preserve">Strengths:</w:t>
      </w:r>
    </w:p>
    <w:p>
      <w:pPr>
        <w:pStyle w:val="Compact"/>
        <w:numPr>
          <w:ilvl w:val="0"/>
          <w:numId w:val="1031"/>
        </w:numPr>
      </w:pPr>
      <w:r>
        <w:t xml:space="preserve">Distribution-free: doesn’t assume a specific distribution</w:t>
      </w:r>
    </w:p>
    <w:p>
      <w:pPr>
        <w:pStyle w:val="Compact"/>
        <w:numPr>
          <w:ilvl w:val="0"/>
          <w:numId w:val="1031"/>
        </w:numPr>
      </w:pPr>
      <w:r>
        <w:t xml:space="preserve">Can be applied to many types of test statistics</w:t>
      </w:r>
    </w:p>
    <w:p>
      <w:pPr>
        <w:pStyle w:val="Compact"/>
        <w:numPr>
          <w:ilvl w:val="0"/>
          <w:numId w:val="1031"/>
        </w:numPr>
      </w:pPr>
      <w:r>
        <w:t xml:space="preserve">Handles small sample sizes well</w:t>
      </w:r>
    </w:p>
    <w:p>
      <w:pPr>
        <w:pStyle w:val="Compact"/>
        <w:numPr>
          <w:ilvl w:val="0"/>
          <w:numId w:val="1031"/>
        </w:numPr>
      </w:pPr>
      <w:r>
        <w:t xml:space="preserve">Directly estimates p-values through resampling</w:t>
      </w:r>
    </w:p>
    <w:p>
      <w:pPr>
        <w:pStyle w:val="FirstParagraph"/>
      </w:pPr>
      <w:r>
        <w:t xml:space="preserve">Weaknesses:</w:t>
      </w:r>
    </w:p>
    <w:p>
      <w:pPr>
        <w:pStyle w:val="Compact"/>
        <w:numPr>
          <w:ilvl w:val="0"/>
          <w:numId w:val="1032"/>
        </w:numPr>
      </w:pPr>
      <w:r>
        <w:t xml:space="preserve">Computationally intensive</w:t>
      </w:r>
    </w:p>
    <w:p>
      <w:pPr>
        <w:pStyle w:val="Compact"/>
        <w:numPr>
          <w:ilvl w:val="0"/>
          <w:numId w:val="1032"/>
        </w:numPr>
      </w:pPr>
      <w:r>
        <w:t xml:space="preserve">Assumes exchangeability under the null hypothesis</w:t>
      </w:r>
    </w:p>
    <w:p>
      <w:pPr>
        <w:pStyle w:val="Compact"/>
        <w:numPr>
          <w:ilvl w:val="0"/>
          <w:numId w:val="1032"/>
        </w:numPr>
      </w:pPr>
      <w:r>
        <w:t xml:space="preserve">Requires similar distributions and equal variance</w:t>
      </w:r>
    </w:p>
    <w:bookmarkEnd w:id="106"/>
    <w:bookmarkStart w:id="109" w:name="key-takeaway"/>
    <w:p>
      <w:pPr>
        <w:pStyle w:val="Heading2"/>
      </w:pPr>
      <w:r>
        <w:t xml:space="preserve">Key Takeaway</w:t>
      </w:r>
    </w:p>
    <w:p>
      <w:pPr>
        <w:pStyle w:val="FirstParagraph"/>
      </w:pPr>
      <w:r>
        <w:t xml:space="preserve">Statistical tests have different strengths and assumptions. The choice should be guided by your data’s characteristics, not just convenience.</w:t>
      </w:r>
    </w:p>
    <w:p>
      <w:pPr>
        <w:pStyle w:val="BodyText"/>
      </w:pPr>
      <w:r>
        <w:rPr>
          <w:b/>
          <w:bCs/>
        </w:rPr>
        <w:t xml:space="preserve">Always visualize your data before deciding on the appropriate test.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7" name="Picture"/>
                  <a:graphic>
                    <a:graphicData uri="http://schemas.openxmlformats.org/drawingml/2006/picture">
                      <pic:pic>
                        <pic:nvPicPr>
                          <pic:cNvPr descr="/Applications/Positron.app/Contents/Resources/app/quarto/share/formats/docx/note.png" id="108"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Standard t-test → Welch’s → Mann-Whitney/Permutation isn’t a strict ladder of</w:t>
            </w:r>
            <w:r>
              <w:t xml:space="preserve"> </w:t>
            </w:r>
            <w:r>
              <w:t xml:space="preserve">“better”</w:t>
            </w:r>
            <w:r>
              <w:t xml:space="preserve"> </w:t>
            </w:r>
            <w:r>
              <w:t xml:space="preserve">tests — each answers a slightly different question (means vs. medians) under different assumptions. Pick based on what your data actually looks like.</w:t>
            </w:r>
          </w:p>
          <w:p/>
        </w:tc>
      </w:tr>
    </w:tbl>
    <w:bookmarkEnd w:id="10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0"/>
        <w:szCs w:val="20"/>
        <w:lang w:bidi="ar-SA" w:eastAsia="en-US" w:val="en-US"/>
      </w:rPr>
    </w:rPrDefault>
    <w:pPrDefault>
      <w:pPr>
        <w:spacing w:after="1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90" w:before="90"/>
    </w:pPr>
  </w:style>
  <w:style w:customStyle="1" w:styleId="FirstParagraph" w:type="paragraph">
    <w:name w:val="First Paragraph"/>
    <w:basedOn w:val="BodyText"/>
    <w:next w:val="BodyText"/>
    <w:qFormat/>
  </w:style>
  <w:style w:customStyle="1" w:styleId="Compact" w:type="paragraph">
    <w:name w:val="Compact"/>
    <w:basedOn w:val="BodyText"/>
    <w:qFormat/>
    <w:pPr>
      <w:spacing w:after="20" w:before="20"/>
    </w:pPr>
  </w:style>
  <w:style w:styleId="Title" w:type="paragraph">
    <w:name w:val="Title"/>
    <w:basedOn w:val="Normal"/>
    <w:next w:val="BodyText"/>
    <w:link w:val="TitleChar"/>
    <w:uiPriority w:val="10"/>
    <w:qFormat/>
    <w:rsid w:val="00A10FD9"/>
    <w:pPr>
      <w:spacing w:after="60" w:line="240" w:lineRule="auto"/>
      <w:contextualSpacing/>
      <w:jc w:val="center"/>
    </w:pPr>
    <w:rPr>
      <w:rFonts w:asciiTheme="majorHAnsi" w:cstheme="majorBidi" w:eastAsiaTheme="majorEastAsia" w:hAnsiTheme="majorHAnsi"/>
      <w:sz w:val="28"/>
      <w:szCs w:val="28"/>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28"/>
      <w:szCs w:val="28"/>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2"/>
      <w:szCs w:val="22"/>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60" w:before="200"/>
      <w:outlineLvl w:val="0"/>
    </w:pPr>
    <w:rPr>
      <w:rFonts w:asciiTheme="majorHAnsi" w:cstheme="majorBidi" w:eastAsiaTheme="majorEastAsia" w:hAnsiTheme="majorHAnsi"/>
      <w:color w:themeColor="accent1" w:themeShade="BF" w:val="0F4761"/>
      <w:sz w:val="28"/>
      <w:szCs w:val="28"/>
    </w:rPr>
  </w:style>
  <w:style w:styleId="Heading2" w:type="paragraph">
    <w:name w:val="heading 2"/>
    <w:basedOn w:val="Normal"/>
    <w:next w:val="BodyText"/>
    <w:link w:val="Heading2Char"/>
    <w:uiPriority w:val="9"/>
    <w:semiHidden/>
    <w:unhideWhenUsed/>
    <w:qFormat/>
    <w:rsid w:val="00A10FD9"/>
    <w:pPr>
      <w:keepNext/>
      <w:keepLines/>
      <w:spacing w:after="50" w:before="14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BodyText"/>
    <w:link w:val="Heading3Char"/>
    <w:uiPriority w:val="9"/>
    <w:semiHidden/>
    <w:unhideWhenUsed/>
    <w:qFormat/>
    <w:rsid w:val="00A10FD9"/>
    <w:pPr>
      <w:keepNext/>
      <w:keepLines/>
      <w:spacing w:after="40" w:before="120"/>
      <w:outlineLvl w:val="2"/>
    </w:pPr>
    <w:rPr>
      <w:rFonts w:cstheme="majorBidi" w:eastAsiaTheme="majorEastAsia"/>
      <w:color w:themeColor="accent1" w:themeShade="BF" w:val="0F4761"/>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50" w:before="5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6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21" Target="media/rId21.png" /><Relationship Type="http://schemas.openxmlformats.org/officeDocument/2006/relationships/image" Id="rId54" Target="media/rId54.png" /><Relationship Type="http://schemas.openxmlformats.org/officeDocument/2006/relationships/image" Id="rId39" Target="media/rId39.png" /><Relationship Type="http://schemas.openxmlformats.org/officeDocument/2006/relationships/image" Id="rId35" Target="media/rId35.png" /><Relationship Type="http://schemas.openxmlformats.org/officeDocument/2006/relationships/image" Id="rId31" Target="media/rId31.png" /><Relationship Type="http://schemas.openxmlformats.org/officeDocument/2006/relationships/image" Id="rId16" Target="media/rId16.jpg" /><Relationship Type="http://schemas.openxmlformats.org/officeDocument/2006/relationships/image" Id="rId12" Target="media/rId12.jpg" /><Relationship Type="http://schemas.openxmlformats.org/officeDocument/2006/relationships/image" Id="rId70" Target="media/rId70.jpg" /><Relationship Type="http://schemas.openxmlformats.org/officeDocument/2006/relationships/image" Id="rId76" Target="media/rId76.png" /><Relationship Type="http://schemas.openxmlformats.org/officeDocument/2006/relationships/image" Id="rId89" Target="media/rId89.png" /><Relationship Type="http://schemas.openxmlformats.org/officeDocument/2006/relationships/image" Id="rId45" Target="media/rId45.png" /><Relationship Type="http://schemas.openxmlformats.org/officeDocument/2006/relationships/image" Id="rId50" Target="media/rId50.png" /><Relationship Type="http://schemas.openxmlformats.org/officeDocument/2006/relationships/image" Id="rId57" Target="media/rId57.png" /><Relationship Type="http://schemas.openxmlformats.org/officeDocument/2006/relationships/image" Id="rId62" Target="media/rId62.png" /><Relationship Type="http://schemas.openxmlformats.org/officeDocument/2006/relationships/image" Id="rId66" Target="media/rId66.png" /><Relationship Type="http://schemas.openxmlformats.org/officeDocument/2006/relationships/hyperlink" Id="rId73" Target="https://www.elsblog.org/the_empirical_legal_studi/2006/08/variable_transf.html" TargetMode="External" /><Relationship Type="http://schemas.openxmlformats.org/officeDocument/2006/relationships/hyperlink" Id="rId95" Target="https://www.jwilber.me/permutationtest/" TargetMode="External" /></Relationships>
</file>

<file path=word/_rels/footnotes.xml.rels><?xml version="1.0" encoding="UTF-8"?><Relationships xmlns="http://schemas.openxmlformats.org/package/2006/relationships"><Relationship Type="http://schemas.openxmlformats.org/officeDocument/2006/relationships/hyperlink" Id="rId73" Target="https://www.elsblog.org/the_empirical_legal_studi/2006/08/variable_transf.html" TargetMode="External" /><Relationship Type="http://schemas.openxmlformats.org/officeDocument/2006/relationships/hyperlink" Id="rId95" Target="https://www.jwilber.me/permutationtes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Non-Parametric T-Tests</dc:title>
  <dc:creator>Bill Perry</dc:creator>
  <dc:description>Assumptions of parametric tests, data transformations, Welch’s t-test, rank-based tests (Mann-Whitney), and permutation tests when assumptions fail — on the lake trout dataset.</dc:description>
  <cp:keywords/>
  <dcterms:created xsi:type="dcterms:W3CDTF">2026-09-03T18:49:20Z</dcterms:created>
  <dcterms:modified xsi:type="dcterms:W3CDTF">2026-09-03T18:49:20Z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xecute">
    <vt:lpwstr/>
  </property>
  <property fmtid="{D5CDD505-2E9C-101B-9397-08002B2CF9AE}" pid="7" name="format">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order">
    <vt:lpwstr>7</vt:lpwstr>
  </property>
  <property fmtid="{D5CDD505-2E9C-101B-9397-08002B2CF9AE}" pid="14" name="resources">
    <vt:lpwstr/>
  </property>
  <property fmtid="{D5CDD505-2E9C-101B-9397-08002B2CF9AE}" pid="15" name="subtitle">
    <vt:lpwstr>Rank-based tests</vt:lpwstr>
  </property>
  <property fmtid="{D5CDD505-2E9C-101B-9397-08002B2CF9AE}" pid="16" name="toc-title">
    <vt:lpwstr>Table of contents</vt:lpwstr>
  </property>
  <property fmtid="{D5CDD505-2E9C-101B-9397-08002B2CF9AE}" pid="17" name="week">
    <vt:lpwstr>4</vt:lpwstr>
  </property>
</Properties>
</file>