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9.png" ContentType="image/png"/>
  <Override PartName="/word/media/rId76.png" ContentType="image/png"/>
  <Override PartName="/word/media/rId60.png" ContentType="image/png"/>
  <Override PartName="/word/media/rId68.png" ContentType="image/png"/>
  <Override PartName="/word/media/rId49.png" ContentType="image/png"/>
  <Override PartName="/word/media/rId64.png" ContentType="image/png"/>
  <Override PartName="/word/media/rId12.png" ContentType="image/png"/>
  <Override PartName="/word/media/rId53.png" ContentType="image/png"/>
  <Override PartName="/word/media/rId21.png" ContentType="image/png"/>
  <Override PartName="/word/media/rId26.jpg" ContentType="image/jpeg"/>
  <Override PartName="/word/media/rId44.png" ContentType="image/png"/>
  <Override PartName="/word/media/rId72.png" ContentType="image/png"/>
  <Override PartName="/word/media/rId88.png" ContentType="image/png"/>
  <Override PartName="/word/media/rId93.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Lecture: Power and Type I &amp; II Error</w:t>
      </w:r>
    </w:p>
    <w:p>
      <w:pPr>
        <w:pStyle w:val="Subtitle"/>
      </w:pPr>
      <w:r>
        <w:t xml:space="preserve">Errors and power</w:t>
      </w:r>
    </w:p>
    <w:p>
      <w:pPr>
        <w:pStyle w:val="Author"/>
      </w:pPr>
      <w:r>
        <w:t xml:space="preserve">Bill Perry</w:t>
      </w:r>
    </w:p>
    <w:bookmarkStart w:id="17" w:name="where-we-left-off"/>
    <w:p>
      <w:pPr>
        <w:pStyle w:val="Heading2"/>
      </w:pPr>
      <w:r>
        <w:t xml:space="preserve">Where We Left Off</w:t>
      </w:r>
    </w:p>
    <w:p>
      <w:pPr>
        <w:pStyle w:val="FirstParagraph"/>
      </w:pPr>
      <w:r>
        <w:t xml:space="preserve">Covered last time:</w:t>
      </w:r>
    </w:p>
    <w:p>
      <w:pPr>
        <w:pStyle w:val="Compact"/>
        <w:numPr>
          <w:ilvl w:val="0"/>
          <w:numId w:val="1001"/>
        </w:numPr>
      </w:pPr>
      <w:r>
        <w:t xml:space="preserve">Statistical inference fundamentals</w:t>
      </w:r>
    </w:p>
    <w:p>
      <w:pPr>
        <w:pStyle w:val="Compact"/>
        <w:numPr>
          <w:ilvl w:val="0"/>
          <w:numId w:val="1001"/>
        </w:numPr>
      </w:pPr>
      <w:r>
        <w:t xml:space="preserve">Hypothesis testing principles</w:t>
      </w:r>
    </w:p>
    <w:p>
      <w:pPr>
        <w:pStyle w:val="Compact"/>
        <w:numPr>
          <w:ilvl w:val="0"/>
          <w:numId w:val="1001"/>
        </w:numPr>
      </w:pPr>
      <w:r>
        <w:t xml:space="preserve">T-distributions</w:t>
      </w:r>
    </w:p>
    <w:p>
      <w:pPr>
        <w:pStyle w:val="Compact"/>
        <w:numPr>
          <w:ilvl w:val="0"/>
          <w:numId w:val="1001"/>
        </w:numPr>
      </w:pPr>
      <w:r>
        <w:t xml:space="preserve">One-sample, two-sample, and paired t-tests</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FirstParagraph"/>
            </w:pPr>
            <w:pPr>
              <w:spacing w:before="0" w:after="0"/>
              <w:textAlignment w:val="center"/>
            </w:pPr>
            <w:r>
              <w:drawing>
                <wp:inline>
                  <wp:extent cx="152400" cy="152400"/>
                  <wp:effectExtent b="0" l="0" r="0" t="0"/>
                  <wp:docPr descr="" title="" id="10" name="Picture"/>
                  <a:graphic>
                    <a:graphicData uri="http://schemas.openxmlformats.org/drawingml/2006/picture">
                      <pic:pic>
                        <pic:nvPicPr>
                          <pic:cNvPr descr="/Applications/Positron.app/Contents/Resources/app/quarto/share/formats/docx/note.png" id="11" name="Picture"/>
                          <pic:cNvPicPr>
                            <a:picLocks noChangeArrowheads="1" noChangeAspect="1"/>
                          </pic:cNvPicPr>
                        </pic:nvPicPr>
                        <pic:blipFill>
                          <a:blip r:embed="rId9"/>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Note</w:t>
            </w:r>
          </w:p>
        </w:tc>
      </w:tr>
      <w:tr>
        <w:trPr>
          <w:cantSplit/>
        </w:trPr>
        <w:tc>
          <w:tcPr>
            <w:tcMar>
              <w:top w:w="108" w:type="dxa"/>
              <w:bottom w:w="108" w:type="dxa"/>
            </w:tcMar>
          </w:tcPr>
          <w:p>
            <w:pPr>
              <w:pStyle w:val="BodyText"/>
            </w:pPr>
            <w:pPr>
              <w:spacing w:before="16"/>
            </w:pPr>
            <w:r>
              <w:rPr>
                <w:b/>
                <w:bCs/>
              </w:rPr>
              <w:t xml:space="preserve">✅ Key idea from last lecture</w:t>
            </w:r>
          </w:p>
          <w:p>
            <w:pPr>
              <w:pStyle w:val="BodyText"/>
            </w:pPr>
            <w:pPr>
              <w:spacing w:after="16"/>
            </w:pPr>
            <w:r>
              <w:t xml:space="preserve">A t-test gives you a p-value and a decision — reject or fail to reject H₀. Today asks the next question: how good is that decision, and how often could it be wrong?</w:t>
            </w:r>
          </w:p>
          <w:p/>
        </w:tc>
      </w:tr>
    </w:tbl>
    <w:p>
      <w:pPr>
        <w:pStyle w:val="CaptionedFigure"/>
      </w:pPr>
      <w:r>
        <w:drawing>
          <wp:inline>
            <wp:extent cx="2468880" cy="2999232"/>
            <wp:effectExtent b="0" l="0" r="0" t="0"/>
            <wp:docPr descr="Diagram of a large circle labeled ‘population’ full of dots with Greek-letter parameters (mu, sigma, sigma-squared), with orange arrows drawing a subset of dots down into a small circle labeled ‘sample’ with its statistics (y-bar, s, s-squared), illustrating that a sample is used to estimate unknown population parameters." title="" id="13" name="Picture"/>
            <a:graphic>
              <a:graphicData uri="http://schemas.openxmlformats.org/drawingml/2006/picture">
                <pic:pic>
                  <pic:nvPicPr>
                    <pic:cNvPr descr="images/clipboard-536528302.png" id="14" name="Picture"/>
                    <pic:cNvPicPr>
                      <a:picLocks noChangeArrowheads="1" noChangeAspect="1"/>
                    </pic:cNvPicPr>
                  </pic:nvPicPr>
                  <pic:blipFill>
                    <a:blip r:embed="rId12"/>
                    <a:stretch>
                      <a:fillRect/>
                    </a:stretch>
                  </pic:blipFill>
                  <pic:spPr bwMode="auto">
                    <a:xfrm>
                      <a:off x="0" y="0"/>
                      <a:ext cx="2468880" cy="2999232"/>
                    </a:xfrm>
                    <a:prstGeom prst="rect">
                      <a:avLst/>
                    </a:prstGeom>
                    <a:noFill/>
                    <a:ln w="9525">
                      <a:noFill/>
                      <a:headEnd/>
                      <a:tailEnd/>
                    </a:ln>
                  </pic:spPr>
                </pic:pic>
              </a:graphicData>
            </a:graphic>
          </wp:inline>
        </w:drawing>
      </w:r>
    </w:p>
    <w:p>
      <w:pPr>
        <w:pStyle w:val="ImageCaption"/>
      </w:pPr>
      <w:r>
        <w:t xml:space="preserve">Diagram of a large circle labeled</w:t>
      </w:r>
      <w:r>
        <w:t xml:space="preserve"> </w:t>
      </w:r>
      <w:r>
        <w:t xml:space="preserve">‘population’</w:t>
      </w:r>
      <w:r>
        <w:t xml:space="preserve"> </w:t>
      </w:r>
      <w:r>
        <w:t xml:space="preserve">full of dots with Greek-letter parameters (mu, sigma, sigma-squared), with orange arrows drawing a subset of dots down into a small circle labeled</w:t>
      </w:r>
      <w:r>
        <w:t xml:space="preserve"> </w:t>
      </w:r>
      <w:r>
        <w:t xml:space="preserve">‘sample’</w:t>
      </w:r>
      <w:r>
        <w:t xml:space="preserve"> </w:t>
      </w:r>
      <w:r>
        <w:t xml:space="preserve">with its statistics (y-bar, s, s-squared), illustrating that a sample is used to estimate unknown population parameters.</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BodyText"/>
            </w:pPr>
            <w:pPr>
              <w:spacing w:before="0" w:after="0"/>
              <w:textAlignment w:val="center"/>
            </w:pPr>
            <w:r>
              <w:drawing>
                <wp:inline>
                  <wp:extent cx="152400" cy="152400"/>
                  <wp:effectExtent b="0" l="0" r="0" t="0"/>
                  <wp:docPr descr="" title="" id="15" name="Picture"/>
                  <a:graphic>
                    <a:graphicData uri="http://schemas.openxmlformats.org/drawingml/2006/picture">
                      <pic:pic>
                        <pic:nvPicPr>
                          <pic:cNvPr descr="/Applications/Positron.app/Contents/Resources/app/quarto/share/formats/docx/note.png" id="16" name="Picture"/>
                          <pic:cNvPicPr>
                            <a:picLocks noChangeArrowheads="1" noChangeAspect="1"/>
                          </pic:cNvPicPr>
                        </pic:nvPicPr>
                        <pic:blipFill>
                          <a:blip r:embed="rId9"/>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Note</w:t>
            </w:r>
          </w:p>
        </w:tc>
      </w:tr>
      <w:tr>
        <w:trPr>
          <w:cantSplit/>
        </w:trPr>
        <w:tc>
          <w:tcPr>
            <w:tcMar>
              <w:top w:w="108" w:type="dxa"/>
              <w:bottom w:w="108" w:type="dxa"/>
            </w:tcMar>
          </w:tcPr>
          <w:p>
            <w:pPr>
              <w:pStyle w:val="BodyText"/>
            </w:pPr>
            <w:pPr>
              <w:spacing w:before="16"/>
            </w:pPr>
            <w:r>
              <w:rPr>
                <w:b/>
                <w:bCs/>
              </w:rPr>
              <w:t xml:space="preserve">Today’s objectives</w:t>
            </w:r>
          </w:p>
          <w:p>
            <w:pPr>
              <w:pStyle w:val="Compact"/>
              <w:numPr>
                <w:ilvl w:val="0"/>
                <w:numId w:val="1002"/>
              </w:numPr>
            </w:pPr>
            <w:r>
              <w:t xml:space="preserve">Brief review</w:t>
            </w:r>
          </w:p>
          <w:p>
            <w:pPr>
              <w:pStyle w:val="Compact"/>
              <w:numPr>
                <w:ilvl w:val="0"/>
                <w:numId w:val="1002"/>
              </w:numPr>
            </w:pPr>
            <w:r>
              <w:t xml:space="preserve">Hypothesis tests for two populations</w:t>
            </w:r>
          </w:p>
          <w:p>
            <w:pPr>
              <w:pStyle w:val="Compact"/>
              <w:numPr>
                <w:ilvl w:val="0"/>
                <w:numId w:val="1002"/>
              </w:numPr>
            </w:pPr>
            <w:r>
              <w:t xml:space="preserve">Assumptions of parametric tests</w:t>
            </w:r>
          </w:p>
          <w:p>
            <w:pPr>
              <w:pStyle w:val="Compact"/>
              <w:numPr>
                <w:ilvl w:val="0"/>
                <w:numId w:val="1002"/>
              </w:numPr>
            </w:pPr>
            <w:r>
              <w:t xml:space="preserve">Power of parametric tests</w:t>
            </w:r>
          </w:p>
          <w:p>
            <w:pPr>
              <w:pStyle w:val="Compact"/>
              <w:numPr>
                <w:ilvl w:val="0"/>
                <w:numId w:val="1002"/>
              </w:numPr>
            </w:pPr>
            <w:r>
              <w:t xml:space="preserve">Introduction to non-parametric tests</w:t>
            </w:r>
          </w:p>
          <w:p/>
        </w:tc>
      </w:tr>
    </w:tbl>
    <w:bookmarkEnd w:id="17"/>
    <w:bookmarkStart w:id="18" w:name="part-1-statistical-hypothesis-testing"/>
    <w:p>
      <w:pPr>
        <w:pStyle w:val="Heading2"/>
      </w:pPr>
      <w:r>
        <w:t xml:space="preserve">Part 1 · Statistical Hypothesis Testing</w:t>
      </w:r>
    </w:p>
    <w:bookmarkEnd w:id="18"/>
    <w:bookmarkStart w:id="24" w:name="statistical-hypothesis-testing"/>
    <w:p>
      <w:pPr>
        <w:pStyle w:val="Heading2"/>
      </w:pPr>
      <w:r>
        <w:t xml:space="preserve">Statistical Hypothesis Testing</w:t>
      </w:r>
    </w:p>
    <w:p>
      <w:pPr>
        <w:pStyle w:val="Compact"/>
        <w:numPr>
          <w:ilvl w:val="0"/>
          <w:numId w:val="1003"/>
        </w:numPr>
      </w:pPr>
      <w:r>
        <w:t xml:space="preserve">Major goal of statistics: inferences about populations from samples</w:t>
      </w:r>
    </w:p>
    <w:p>
      <w:pPr>
        <w:pStyle w:val="Compact"/>
        <w:numPr>
          <w:ilvl w:val="1"/>
          <w:numId w:val="1004"/>
        </w:numPr>
      </w:pPr>
      <w:r>
        <w:t xml:space="preserve">assign a degree of confidence to inferences</w:t>
      </w:r>
    </w:p>
    <w:p>
      <w:pPr>
        <w:pStyle w:val="Compact"/>
        <w:numPr>
          <w:ilvl w:val="0"/>
          <w:numId w:val="1003"/>
        </w:numPr>
      </w:pPr>
      <w:r>
        <w:t xml:space="preserve">Statistical hypothesis testing: a formalized approach to inference</w:t>
      </w:r>
    </w:p>
    <w:p>
      <w:pPr>
        <w:pStyle w:val="Compact"/>
        <w:numPr>
          <w:ilvl w:val="0"/>
          <w:numId w:val="1003"/>
        </w:numPr>
      </w:pPr>
      <w:r>
        <w:t xml:space="preserve">Hypotheses ask whether samples come from populations with certain properties</w:t>
      </w:r>
    </w:p>
    <w:p>
      <w:pPr>
        <w:pStyle w:val="Compact"/>
        <w:numPr>
          <w:ilvl w:val="0"/>
          <w:numId w:val="1003"/>
        </w:numPr>
      </w:pPr>
      <w:r>
        <w:t xml:space="preserve">Often interested in questions about population means — but other questions are of interest too</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FirstParagraph"/>
            </w:pPr>
            <w:pPr>
              <w:spacing w:before="0" w:after="0"/>
              <w:textAlignment w:val="center"/>
            </w:pPr>
            <w:r>
              <w:drawing>
                <wp:inline>
                  <wp:extent cx="152400" cy="152400"/>
                  <wp:effectExtent b="0" l="0" r="0" t="0"/>
                  <wp:docPr descr="" title="" id="19" name="Picture"/>
                  <a:graphic>
                    <a:graphicData uri="http://schemas.openxmlformats.org/drawingml/2006/picture">
                      <pic:pic>
                        <pic:nvPicPr>
                          <pic:cNvPr descr="/Applications/Positron.app/Contents/Resources/app/quarto/share/formats/docx/note.png" id="20" name="Picture"/>
                          <pic:cNvPicPr>
                            <a:picLocks noChangeArrowheads="1" noChangeAspect="1"/>
                          </pic:cNvPicPr>
                        </pic:nvPicPr>
                        <pic:blipFill>
                          <a:blip r:embed="rId9"/>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Note</w:t>
            </w:r>
          </w:p>
        </w:tc>
      </w:tr>
      <w:tr>
        <w:trPr>
          <w:cantSplit/>
        </w:trPr>
        <w:tc>
          <w:tcPr>
            <w:tcMar>
              <w:top w:w="108" w:type="dxa"/>
              <w:bottom w:w="108" w:type="dxa"/>
            </w:tcMar>
          </w:tcPr>
          <w:p>
            <w:pPr>
              <w:pStyle w:val="BodyText"/>
            </w:pPr>
            <w:pPr>
              <w:spacing w:before="16"/>
            </w:pPr>
            <w:r>
              <w:rPr>
                <w:b/>
                <w:bCs/>
              </w:rPr>
              <w:t xml:space="preserve">📖 Reference</w:t>
            </w:r>
          </w:p>
          <w:p>
            <w:pPr>
              <w:pStyle w:val="BodyText"/>
            </w:pPr>
            <w:pPr>
              <w:spacing w:after="16"/>
            </w:pPr>
            <w:r>
              <w:t xml:space="preserve">Gotelli &amp; Ellison,</w:t>
            </w:r>
            <w:r>
              <w:t xml:space="preserve"> </w:t>
            </w:r>
            <w:r>
              <w:rPr>
                <w:i/>
                <w:iCs/>
              </w:rPr>
              <w:t xml:space="preserve">A Primer of Ecological Statistics</w:t>
            </w:r>
            <w:r>
              <w:t xml:space="preserve">, Ch. 4 — Framing and Testing Hypotheses.</w:t>
            </w:r>
          </w:p>
          <w:p/>
        </w:tc>
      </w:tr>
    </w:tbl>
    <w:p>
      <w:pPr>
        <w:pStyle w:val="CaptionedFigure"/>
      </w:pPr>
      <w:r>
        <w:drawing>
          <wp:inline>
            <wp:extent cx="2852928" cy="2377440"/>
            <wp:effectExtent b="0" l="0" r="0" t="0"/>
            <wp:docPr descr="Photo of a mature pine tree with a gently leaning trunk and broad, layered branches of green needle clusters against a transparent background." title="" id="22" name="Picture"/>
            <a:graphic>
              <a:graphicData uri="http://schemas.openxmlformats.org/drawingml/2006/picture">
                <pic:pic>
                  <pic:nvPicPr>
                    <pic:cNvPr descr="images/pine_tree.png" id="23" name="Picture"/>
                    <pic:cNvPicPr>
                      <a:picLocks noChangeArrowheads="1" noChangeAspect="1"/>
                    </pic:cNvPicPr>
                  </pic:nvPicPr>
                  <pic:blipFill>
                    <a:blip r:embed="rId21"/>
                    <a:stretch>
                      <a:fillRect/>
                    </a:stretch>
                  </pic:blipFill>
                  <pic:spPr bwMode="auto">
                    <a:xfrm>
                      <a:off x="0" y="0"/>
                      <a:ext cx="2852928" cy="2377440"/>
                    </a:xfrm>
                    <a:prstGeom prst="rect">
                      <a:avLst/>
                    </a:prstGeom>
                    <a:noFill/>
                    <a:ln w="9525">
                      <a:noFill/>
                      <a:headEnd/>
                      <a:tailEnd/>
                    </a:ln>
                  </pic:spPr>
                </pic:pic>
              </a:graphicData>
            </a:graphic>
          </wp:inline>
        </w:drawing>
      </w:r>
    </w:p>
    <w:p>
      <w:pPr>
        <w:pStyle w:val="ImageCaption"/>
      </w:pPr>
      <w:r>
        <w:t xml:space="preserve">Photo of a mature pine tree with a gently leaning trunk and broad, layered branches of green needle clusters against a transparent background.</w:t>
      </w:r>
    </w:p>
    <w:bookmarkEnd w:id="24"/>
    <w:bookmarkStart w:id="25" w:name="part-2-hypothesis-components"/>
    <w:p>
      <w:pPr>
        <w:pStyle w:val="Heading2"/>
      </w:pPr>
      <w:r>
        <w:t xml:space="preserve">Part 2 · Hypothesis Components</w:t>
      </w:r>
    </w:p>
    <w:bookmarkEnd w:id="25"/>
    <w:bookmarkStart w:id="29" w:name="hypothesis-components"/>
    <w:p>
      <w:pPr>
        <w:pStyle w:val="Heading2"/>
      </w:pPr>
      <w:r>
        <w:t xml:space="preserve">Hypothesis Components</w:t>
      </w:r>
    </w:p>
    <w:p>
      <w:pPr>
        <w:pStyle w:val="FirstParagraph"/>
      </w:pPr>
      <w:r>
        <w:t xml:space="preserve">Useful hypotheses rely on specifying:</w:t>
      </w:r>
    </w:p>
    <w:p>
      <w:pPr>
        <w:pStyle w:val="Compact"/>
        <w:numPr>
          <w:ilvl w:val="0"/>
          <w:numId w:val="1005"/>
        </w:numPr>
      </w:pPr>
      <w:r>
        <w:rPr>
          <w:b/>
          <w:bCs/>
        </w:rPr>
        <w:t xml:space="preserve">H₀</w:t>
      </w:r>
      <w:r>
        <w:t xml:space="preserve"> </w:t>
      </w:r>
      <w:r>
        <w:t xml:space="preserve">— the hypothesis of</w:t>
      </w:r>
      <w:r>
        <w:t xml:space="preserve"> </w:t>
      </w:r>
      <w:r>
        <w:t xml:space="preserve">“no effect”</w:t>
      </w:r>
    </w:p>
    <w:p>
      <w:pPr>
        <w:pStyle w:val="Compact"/>
        <w:numPr>
          <w:ilvl w:val="1"/>
          <w:numId w:val="1006"/>
        </w:numPr>
      </w:pPr>
      <w:r>
        <w:t xml:space="preserve">two samples from populations with the same mean</w:t>
      </w:r>
    </w:p>
    <w:p>
      <w:pPr>
        <w:pStyle w:val="Compact"/>
        <w:numPr>
          <w:ilvl w:val="1"/>
          <w:numId w:val="1006"/>
        </w:numPr>
      </w:pPr>
      <w:r>
        <w:t xml:space="preserve">or a sample is from a population of mean = X</w:t>
      </w:r>
    </w:p>
    <w:p>
      <w:pPr>
        <w:pStyle w:val="Compact"/>
        <w:numPr>
          <w:ilvl w:val="0"/>
          <w:numId w:val="1005"/>
        </w:numPr>
      </w:pPr>
      <w:r>
        <w:rPr>
          <w:b/>
          <w:bCs/>
        </w:rPr>
        <w:t xml:space="preserve">Hₐ</w:t>
      </w:r>
      <w:r>
        <w:t xml:space="preserve"> </w:t>
      </w:r>
      <w:r>
        <w:t xml:space="preserve">(research or alternate hypothesis)</w:t>
      </w:r>
    </w:p>
    <w:p>
      <w:pPr>
        <w:pStyle w:val="Compact"/>
        <w:numPr>
          <w:ilvl w:val="1"/>
          <w:numId w:val="1007"/>
        </w:numPr>
      </w:pPr>
      <w:r>
        <w:t xml:space="preserve">the opposite of H₀</w:t>
      </w:r>
    </w:p>
    <w:p>
      <w:pPr>
        <w:pStyle w:val="Compact"/>
        <w:numPr>
          <w:ilvl w:val="1"/>
          <w:numId w:val="1007"/>
        </w:numPr>
      </w:pPr>
      <w:r>
        <w:t xml:space="preserve">predicts an effect of x on y</w:t>
      </w:r>
    </w:p>
    <w:p>
      <w:pPr>
        <w:pStyle w:val="Compact"/>
        <w:numPr>
          <w:ilvl w:val="1"/>
          <w:numId w:val="1007"/>
        </w:numPr>
      </w:pPr>
      <w:r>
        <w:rPr>
          <w:i/>
          <w:iCs/>
        </w:rPr>
        <w:t xml:space="preserve">but does NOT suggest a direction</w:t>
      </w:r>
      <w:r>
        <w:t xml:space="preserve"> </w:t>
      </w:r>
      <w:r>
        <w:t xml:space="preserve">— that’s a prediction</w:t>
      </w:r>
    </w:p>
    <w:p>
      <w:pPr>
        <w:pStyle w:val="CaptionedFigure"/>
      </w:pPr>
      <w:r>
        <w:drawing>
          <wp:inline>
            <wp:extent cx="2852928" cy="2377440"/>
            <wp:effectExtent b="0" l="0" r="0" t="0"/>
            <wp:docPr descr="Photo of two separate green pine branches side by side, symbolizing the two groups or hypotheses (H0 vs. Ha) being compared." title="" id="27" name="Picture"/>
            <a:graphic>
              <a:graphicData uri="http://schemas.openxmlformats.org/drawingml/2006/picture">
                <pic:pic>
                  <pic:nvPicPr>
                    <pic:cNvPr descr="images/two_branches.jpg" id="28" name="Picture"/>
                    <pic:cNvPicPr>
                      <a:picLocks noChangeArrowheads="1" noChangeAspect="1"/>
                    </pic:cNvPicPr>
                  </pic:nvPicPr>
                  <pic:blipFill>
                    <a:blip r:embed="rId26"/>
                    <a:stretch>
                      <a:fillRect/>
                    </a:stretch>
                  </pic:blipFill>
                  <pic:spPr bwMode="auto">
                    <a:xfrm>
                      <a:off x="0" y="0"/>
                      <a:ext cx="2852928" cy="2377440"/>
                    </a:xfrm>
                    <a:prstGeom prst="rect">
                      <a:avLst/>
                    </a:prstGeom>
                    <a:noFill/>
                    <a:ln w="9525">
                      <a:noFill/>
                      <a:headEnd/>
                      <a:tailEnd/>
                    </a:ln>
                  </pic:spPr>
                </pic:pic>
              </a:graphicData>
            </a:graphic>
          </wp:inline>
        </w:drawing>
      </w:r>
    </w:p>
    <w:p>
      <w:pPr>
        <w:pStyle w:val="ImageCaption"/>
      </w:pPr>
      <w:r>
        <w:t xml:space="preserve">Photo of two separate green pine branches side by side, symbolizing the two groups or hypotheses (H0 vs. Ha) being compared.</w:t>
      </w:r>
    </w:p>
    <w:bookmarkEnd w:id="29"/>
    <w:bookmarkStart w:id="32" w:name="hypothesis-examples"/>
    <w:p>
      <w:pPr>
        <w:pStyle w:val="Heading2"/>
      </w:pPr>
      <w:r>
        <w:t xml:space="preserve">Hypothesis Examples</w:t>
      </w:r>
    </w:p>
    <w:p>
      <w:pPr>
        <w:pStyle w:val="FirstParagraph"/>
      </w:pPr>
      <w:r>
        <w:t xml:space="preserve">Together, H₀ and Hₐ encompass all possible outcomes:</w:t>
      </w:r>
    </w:p>
    <w:p>
      <w:pPr>
        <w:pStyle w:val="Compact"/>
        <w:numPr>
          <w:ilvl w:val="0"/>
          <w:numId w:val="1008"/>
        </w:numPr>
      </w:pPr>
      <w:r>
        <w:t xml:space="preserve">H₀: µ = 0, Hₐ: µ ≠ 0 — mean equals 0 or it does not</w:t>
      </w:r>
    </w:p>
    <w:p>
      <w:pPr>
        <w:pStyle w:val="Compact"/>
        <w:numPr>
          <w:ilvl w:val="0"/>
          <w:numId w:val="1008"/>
        </w:numPr>
      </w:pPr>
      <w:r>
        <w:t xml:space="preserve">H₀: µ = 35, Hₐ: µ ≠ 35 — mean equals 35 or it does not</w:t>
      </w:r>
    </w:p>
    <w:p>
      <w:pPr>
        <w:pStyle w:val="Compact"/>
        <w:numPr>
          <w:ilvl w:val="0"/>
          <w:numId w:val="1008"/>
        </w:numPr>
      </w:pPr>
      <w:r>
        <w:t xml:space="preserve">H₀: µ₁ = µ₂, Hₐ: µ₁ ≠ µ₂ — mean of population 1 equals mean of population 2, or it does not</w:t>
      </w:r>
    </w:p>
    <w:p>
      <w:pPr>
        <w:pStyle w:val="Compact"/>
        <w:numPr>
          <w:ilvl w:val="0"/>
          <w:numId w:val="1008"/>
        </w:numPr>
      </w:pPr>
      <w:r>
        <w:t xml:space="preserve">H₀: µ &gt; 0, Hₐ: µ ≤ 0 — can be</w:t>
      </w:r>
      <w:r>
        <w:t xml:space="preserve"> </w:t>
      </w:r>
      <w:r>
        <w:rPr>
          <w:b/>
          <w:bCs/>
        </w:rPr>
        <w:t xml:space="preserve">directional</w:t>
      </w:r>
      <w:r>
        <w:t xml:space="preserve">: mean is greater than 0, or mean is not greater than 0</w:t>
      </w:r>
    </w:p>
    <w:p>
      <w:pPr>
        <w:pStyle w:val="Compact"/>
        <w:numPr>
          <w:ilvl w:val="1"/>
          <w:numId w:val="1009"/>
        </w:numPr>
      </w:pPr>
      <w:r>
        <w:t xml:space="preserve">this becomes a one-sided test, since it predicts only one direction</w:t>
      </w:r>
    </w:p>
    <w:p>
      <w:pPr>
        <w:pStyle w:val="CaptionedFigure"/>
      </w:pPr>
      <w:r>
        <w:drawing>
          <wp:inline>
            <wp:extent cx="2852928" cy="2377440"/>
            <wp:effectExtent b="0" l="0" r="0" t="0"/>
            <wp:docPr descr="Photo of two separate green pine branches side by side, symbolizing the two groups or hypotheses (H0 vs. Ha) being compared." title="" id="30" name="Picture"/>
            <a:graphic>
              <a:graphicData uri="http://schemas.openxmlformats.org/drawingml/2006/picture">
                <pic:pic>
                  <pic:nvPicPr>
                    <pic:cNvPr descr="images/two_branches.jpg" id="31" name="Picture"/>
                    <pic:cNvPicPr>
                      <a:picLocks noChangeArrowheads="1" noChangeAspect="1"/>
                    </pic:cNvPicPr>
                  </pic:nvPicPr>
                  <pic:blipFill>
                    <a:blip r:embed="rId26"/>
                    <a:stretch>
                      <a:fillRect/>
                    </a:stretch>
                  </pic:blipFill>
                  <pic:spPr bwMode="auto">
                    <a:xfrm>
                      <a:off x="0" y="0"/>
                      <a:ext cx="2852928" cy="2377440"/>
                    </a:xfrm>
                    <a:prstGeom prst="rect">
                      <a:avLst/>
                    </a:prstGeom>
                    <a:noFill/>
                    <a:ln w="9525">
                      <a:noFill/>
                      <a:headEnd/>
                      <a:tailEnd/>
                    </a:ln>
                  </pic:spPr>
                </pic:pic>
              </a:graphicData>
            </a:graphic>
          </wp:inline>
        </w:drawing>
      </w:r>
    </w:p>
    <w:p>
      <w:pPr>
        <w:pStyle w:val="ImageCaption"/>
      </w:pPr>
      <w:r>
        <w:t xml:space="preserve">Photo of two separate green pine branches side by side, symbolizing the two groups or hypotheses (H0 vs. Ha) being compared.</w:t>
      </w:r>
    </w:p>
    <w:bookmarkEnd w:id="32"/>
    <w:bookmarkStart w:id="33" w:name="part-3-p-values"/>
    <w:p>
      <w:pPr>
        <w:pStyle w:val="Heading2"/>
      </w:pPr>
      <w:r>
        <w:t xml:space="preserve">Part 3 · P-Values</w:t>
      </w:r>
    </w:p>
    <w:bookmarkEnd w:id="33"/>
    <w:bookmarkStart w:id="36" w:name="statistical-testing-framework"/>
    <w:p>
      <w:pPr>
        <w:pStyle w:val="Heading2"/>
      </w:pPr>
      <w:r>
        <w:t xml:space="preserve">Statistical Testing Framework</w:t>
      </w:r>
    </w:p>
    <w:p>
      <w:pPr>
        <w:pStyle w:val="FirstParagraph"/>
      </w:pPr>
      <w:r>
        <w:t xml:space="preserve">Statistical tests assess the likelihood of the null hypothesis being true.</w:t>
      </w:r>
    </w:p>
    <w:p>
      <w:pPr>
        <w:pStyle w:val="Compact"/>
        <w:numPr>
          <w:ilvl w:val="0"/>
          <w:numId w:val="1010"/>
        </w:numPr>
      </w:pPr>
      <w:r>
        <w:t xml:space="preserve">If H₀ is likely false, Hₐ is assumed correct</w:t>
      </w:r>
    </w:p>
    <w:p>
      <w:pPr>
        <w:pStyle w:val="Compact"/>
        <w:numPr>
          <w:ilvl w:val="0"/>
          <w:numId w:val="1010"/>
        </w:numPr>
      </w:pPr>
      <w:r>
        <w:t xml:space="preserve">More precisely: the long-run probability of obtaining our sample value (or a more extreme one)</w:t>
      </w:r>
      <w:r>
        <w:t xml:space="preserve"> </w:t>
      </w:r>
      <w:r>
        <w:rPr>
          <w:b/>
          <w:bCs/>
        </w:rPr>
        <w:t xml:space="preserve">if the null hypothesis is true</w:t>
      </w:r>
    </w:p>
    <w:p>
      <w:pPr>
        <w:pStyle w:val="Compact"/>
        <w:numPr>
          <w:ilvl w:val="1"/>
          <w:numId w:val="1011"/>
        </w:numPr>
      </w:pPr>
      <w:r>
        <w:t xml:space="preserve">p(data | H₀) — the probability of observing the data given that H₀ is true</w:t>
      </w:r>
    </w:p>
    <w:p>
      <w:pPr>
        <w:pStyle w:val="CaptionedFigure"/>
      </w:pPr>
      <w:r>
        <w:drawing>
          <wp:inline>
            <wp:extent cx="2852928" cy="2377440"/>
            <wp:effectExtent b="0" l="0" r="0" t="0"/>
            <wp:docPr descr="Photo of two separate green pine branches side by side, symbolizing the two groups or hypotheses (H0 vs. Ha) being compared." title="" id="34" name="Picture"/>
            <a:graphic>
              <a:graphicData uri="http://schemas.openxmlformats.org/drawingml/2006/picture">
                <pic:pic>
                  <pic:nvPicPr>
                    <pic:cNvPr descr="images/two_branches.jpg" id="35" name="Picture"/>
                    <pic:cNvPicPr>
                      <a:picLocks noChangeArrowheads="1" noChangeAspect="1"/>
                    </pic:cNvPicPr>
                  </pic:nvPicPr>
                  <pic:blipFill>
                    <a:blip r:embed="rId26"/>
                    <a:stretch>
                      <a:fillRect/>
                    </a:stretch>
                  </pic:blipFill>
                  <pic:spPr bwMode="auto">
                    <a:xfrm>
                      <a:off x="0" y="0"/>
                      <a:ext cx="2852928" cy="2377440"/>
                    </a:xfrm>
                    <a:prstGeom prst="rect">
                      <a:avLst/>
                    </a:prstGeom>
                    <a:noFill/>
                    <a:ln w="9525">
                      <a:noFill/>
                      <a:headEnd/>
                      <a:tailEnd/>
                    </a:ln>
                  </pic:spPr>
                </pic:pic>
              </a:graphicData>
            </a:graphic>
          </wp:inline>
        </w:drawing>
      </w:r>
    </w:p>
    <w:p>
      <w:pPr>
        <w:pStyle w:val="ImageCaption"/>
      </w:pPr>
      <w:r>
        <w:t xml:space="preserve">Photo of two separate green pine branches side by side, symbolizing the two groups or hypotheses (H0 vs. Ha) being compared.</w:t>
      </w:r>
    </w:p>
    <w:bookmarkEnd w:id="36"/>
    <w:bookmarkStart w:id="39" w:name="understanding-p-values"/>
    <w:p>
      <w:pPr>
        <w:pStyle w:val="Heading2"/>
      </w:pPr>
      <w:r>
        <w:t xml:space="preserve">Understanding P-Values</w:t>
      </w:r>
    </w:p>
    <w:p>
      <w:pPr>
        <w:pStyle w:val="FirstParagraph"/>
      </w:pPr>
      <w:r>
        <w:t xml:space="preserve">Hypothesis tests are expressed as a p-value (0 = never, 1 = always).</w:t>
      </w:r>
    </w:p>
    <w:p>
      <w:pPr>
        <w:pStyle w:val="BodyText"/>
      </w:pPr>
      <w:r>
        <w:t xml:space="preserve">Interpret a p-value as: the probability of obtaining a sample value of the statistic (or a more extreme one) if H₀ is true.</w:t>
      </w:r>
    </w:p>
    <w:p>
      <w:pPr>
        <w:pStyle w:val="Compact"/>
        <w:numPr>
          <w:ilvl w:val="0"/>
          <w:numId w:val="1012"/>
        </w:numPr>
      </w:pPr>
      <w:r>
        <w:rPr>
          <w:b/>
          <w:bCs/>
        </w:rPr>
        <w:t xml:space="preserve">High p-value:</w:t>
      </w:r>
      <w:r>
        <w:t xml:space="preserve"> </w:t>
      </w:r>
      <w:r>
        <w:t xml:space="preserve">high probability of obtaining our sample statistic under H₀</w:t>
      </w:r>
    </w:p>
    <w:p>
      <w:pPr>
        <w:pStyle w:val="Compact"/>
        <w:numPr>
          <w:ilvl w:val="1"/>
          <w:numId w:val="1013"/>
        </w:numPr>
      </w:pPr>
      <w:r>
        <w:t xml:space="preserve">if H₀ were true, you would frequently observe data similar to your sample</w:t>
      </w:r>
    </w:p>
    <w:p>
      <w:pPr>
        <w:pStyle w:val="Compact"/>
        <w:numPr>
          <w:ilvl w:val="1"/>
          <w:numId w:val="1013"/>
        </w:numPr>
      </w:pPr>
      <w:r>
        <w:t xml:space="preserve">your observed results are quite compatible with what H₀ predicts</w:t>
      </w:r>
    </w:p>
    <w:p>
      <w:pPr>
        <w:pStyle w:val="Compact"/>
        <w:numPr>
          <w:ilvl w:val="0"/>
          <w:numId w:val="1012"/>
        </w:numPr>
      </w:pPr>
      <w:r>
        <w:rPr>
          <w:b/>
          <w:bCs/>
        </w:rPr>
        <w:t xml:space="preserve">Low p-value:</w:t>
      </w:r>
      <w:r>
        <w:t xml:space="preserve"> </w:t>
      </w:r>
      <w:r>
        <w:t xml:space="preserve">low probability of obtaining our sample statistic under H₀</w:t>
      </w:r>
    </w:p>
    <w:p>
      <w:pPr>
        <w:pStyle w:val="Compact"/>
        <w:numPr>
          <w:ilvl w:val="1"/>
          <w:numId w:val="1014"/>
        </w:numPr>
      </w:pPr>
      <w:r>
        <w:t xml:space="preserve">if H₀ were true, you would rarely observe data this extreme</w:t>
      </w:r>
    </w:p>
    <w:p>
      <w:pPr>
        <w:pStyle w:val="Compact"/>
        <w:numPr>
          <w:ilvl w:val="1"/>
          <w:numId w:val="1014"/>
        </w:numPr>
      </w:pPr>
      <w:r>
        <w:t xml:space="preserve">your results are unusual under H₀ — either you witnessed a rare event, or H₀ may be incorrect</w:t>
      </w:r>
    </w:p>
    <w:p>
      <w:pPr>
        <w:pStyle w:val="CaptionedFigure"/>
      </w:pPr>
      <w:r>
        <w:drawing>
          <wp:inline>
            <wp:extent cx="2852928" cy="2377440"/>
            <wp:effectExtent b="0" l="0" r="0" t="0"/>
            <wp:docPr descr="Photo of two separate green pine branches side by side, symbolizing the two groups or hypotheses (H0 vs. Ha) being compared." title="" id="37" name="Picture"/>
            <a:graphic>
              <a:graphicData uri="http://schemas.openxmlformats.org/drawingml/2006/picture">
                <pic:pic>
                  <pic:nvPicPr>
                    <pic:cNvPr descr="images/two_branches.jpg" id="38" name="Picture"/>
                    <pic:cNvPicPr>
                      <a:picLocks noChangeArrowheads="1" noChangeAspect="1"/>
                    </pic:cNvPicPr>
                  </pic:nvPicPr>
                  <pic:blipFill>
                    <a:blip r:embed="rId26"/>
                    <a:stretch>
                      <a:fillRect/>
                    </a:stretch>
                  </pic:blipFill>
                  <pic:spPr bwMode="auto">
                    <a:xfrm>
                      <a:off x="0" y="0"/>
                      <a:ext cx="2852928" cy="2377440"/>
                    </a:xfrm>
                    <a:prstGeom prst="rect">
                      <a:avLst/>
                    </a:prstGeom>
                    <a:noFill/>
                    <a:ln w="9525">
                      <a:noFill/>
                      <a:headEnd/>
                      <a:tailEnd/>
                    </a:ln>
                  </pic:spPr>
                </pic:pic>
              </a:graphicData>
            </a:graphic>
          </wp:inline>
        </w:drawing>
      </w:r>
    </w:p>
    <w:p>
      <w:pPr>
        <w:pStyle w:val="ImageCaption"/>
      </w:pPr>
      <w:r>
        <w:t xml:space="preserve">Photo of two separate green pine branches side by side, symbolizing the two groups or hypotheses (H0 vs. Ha) being compared.</w:t>
      </w:r>
    </w:p>
    <w:bookmarkEnd w:id="39"/>
    <w:bookmarkStart w:id="42" w:name="p-value-interpretation"/>
    <w:p>
      <w:pPr>
        <w:pStyle w:val="Heading2"/>
      </w:pPr>
      <w:r>
        <w:t xml:space="preserve">P-Value Interpretation</w:t>
      </w:r>
    </w:p>
    <w:p>
      <w:pPr>
        <w:pStyle w:val="FirstParagraph"/>
      </w:pPr>
      <w:r>
        <w:t xml:space="preserve">Statistical test results:</w:t>
      </w:r>
    </w:p>
    <w:p>
      <w:pPr>
        <w:pStyle w:val="Compact"/>
        <w:numPr>
          <w:ilvl w:val="0"/>
          <w:numId w:val="1015"/>
        </w:numPr>
      </w:pPr>
      <w:r>
        <w:t xml:space="preserve">p = 0.3 means that if I repeated the study 100 times, I would get this (or a more extreme) result due to chance</w:t>
      </w:r>
      <w:r>
        <w:t xml:space="preserve"> </w:t>
      </w:r>
      <w:r>
        <w:rPr>
          <w:b/>
          <w:bCs/>
        </w:rPr>
        <w:t xml:space="preserve">30 times</w:t>
      </w:r>
    </w:p>
    <w:p>
      <w:pPr>
        <w:pStyle w:val="Compact"/>
        <w:numPr>
          <w:ilvl w:val="0"/>
          <w:numId w:val="1015"/>
        </w:numPr>
      </w:pPr>
      <w:r>
        <w:t xml:space="preserve">p = 0.03 means that if I repeated the study 100 times, I would get this (or a more extreme) result due to chance</w:t>
      </w:r>
      <w:r>
        <w:t xml:space="preserve"> </w:t>
      </w:r>
      <w:r>
        <w:rPr>
          <w:b/>
          <w:bCs/>
        </w:rPr>
        <w:t xml:space="preserve">3 times</w:t>
      </w:r>
    </w:p>
    <w:p>
      <w:pPr>
        <w:pStyle w:val="FirstParagraph"/>
      </w:pPr>
      <w:r>
        <w:rPr>
          <w:i/>
          <w:iCs/>
        </w:rPr>
        <w:t xml:space="preserve">Which p-value suggests H₀ is likely false?</w:t>
      </w:r>
    </w:p>
    <w:p>
      <w:pPr>
        <w:pStyle w:val="BodyText"/>
      </w:pPr>
      <w:r>
        <w:rPr>
          <w:b/>
          <w:bCs/>
        </w:rPr>
        <w:t xml:space="preserve">At what point do we reject H₀?</w:t>
      </w:r>
    </w:p>
    <w:p>
      <w:pPr>
        <w:pStyle w:val="BodyText"/>
      </w:pPr>
      <w:r>
        <w:t xml:space="preserve">p &lt; 0.05 is the conventional</w:t>
      </w:r>
      <w:r>
        <w:t xml:space="preserve"> </w:t>
      </w:r>
      <w:r>
        <w:t xml:space="preserve">“significance threshold”</w:t>
      </w:r>
      <w:r>
        <w:t xml:space="preserve"> </w:t>
      </w:r>
      <w:r>
        <w:t xml:space="preserve">(α = alpha).</w:t>
      </w:r>
    </w:p>
    <w:p>
      <w:pPr>
        <w:pStyle w:val="BodyText"/>
      </w:pPr>
      <w:r>
        <w:t xml:space="preserve">p &lt; 0.05 means: if H₀ is true and we repeated the study 100 times, we would get this (or a more extreme) result less than 5 times due to chance.</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BodyText"/>
            </w:pPr>
            <w:pPr>
              <w:spacing w:before="0" w:after="0"/>
              <w:textAlignment w:val="center"/>
            </w:pPr>
            <w:r>
              <w:drawing>
                <wp:inline>
                  <wp:extent cx="152400" cy="152400"/>
                  <wp:effectExtent b="0" l="0" r="0" t="0"/>
                  <wp:docPr descr="" title="" id="40" name="Picture"/>
                  <a:graphic>
                    <a:graphicData uri="http://schemas.openxmlformats.org/drawingml/2006/picture">
                      <pic:pic>
                        <pic:nvPicPr>
                          <pic:cNvPr descr="/Applications/Positron.app/Contents/Resources/app/quarto/share/formats/docx/note.png" id="41" name="Picture"/>
                          <pic:cNvPicPr>
                            <a:picLocks noChangeArrowheads="1" noChangeAspect="1"/>
                          </pic:cNvPicPr>
                        </pic:nvPicPr>
                        <pic:blipFill>
                          <a:blip r:embed="rId9"/>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Note</w:t>
            </w:r>
          </w:p>
        </w:tc>
      </w:tr>
      <w:tr>
        <w:trPr>
          <w:cantSplit/>
        </w:trPr>
        <w:tc>
          <w:tcPr>
            <w:tcMar>
              <w:top w:w="108" w:type="dxa"/>
              <w:bottom w:w="108" w:type="dxa"/>
            </w:tcMar>
          </w:tcPr>
          <w:p>
            <w:pPr>
              <w:pStyle w:val="BodyText"/>
            </w:pPr>
            <w:pPr>
              <w:spacing w:before="16"/>
            </w:pPr>
            <w:r>
              <w:rPr>
                <w:b/>
                <w:bCs/>
              </w:rPr>
              <w:t xml:space="preserve">✅ Key idea</w:t>
            </w:r>
          </w:p>
          <w:p>
            <w:pPr>
              <w:pStyle w:val="BodyText"/>
            </w:pPr>
            <w:pPr>
              <w:spacing w:after="16"/>
            </w:pPr>
            <w:r>
              <w:t xml:space="preserve">α is chosen</w:t>
            </w:r>
            <w:r>
              <w:t xml:space="preserve"> </w:t>
            </w:r>
            <w:r>
              <w:rPr>
                <w:i/>
                <w:iCs/>
              </w:rPr>
              <w:t xml:space="preserve">before</w:t>
            </w:r>
            <w:r>
              <w:t xml:space="preserve"> </w:t>
            </w:r>
            <w:r>
              <w:t xml:space="preserve">data collection. It’s a policy about how much Type I error risk you’re willing to accept — not something you pick after seeing the p-value.</w:t>
            </w:r>
          </w:p>
          <w:p/>
        </w:tc>
      </w:tr>
    </w:tbl>
    <w:bookmarkEnd w:id="42"/>
    <w:bookmarkStart w:id="43" w:name="significance-levels-and-interpretation"/>
    <w:p>
      <w:pPr>
        <w:pStyle w:val="Heading2"/>
      </w:pPr>
      <w:r>
        <w:t xml:space="preserve">Significance Levels and Interpretation</w:t>
      </w:r>
    </w:p>
    <w:p>
      <w:pPr>
        <w:pStyle w:val="Compact"/>
        <w:numPr>
          <w:ilvl w:val="0"/>
          <w:numId w:val="1016"/>
        </w:numPr>
      </w:pPr>
      <w:r>
        <w:rPr>
          <w:b/>
          <w:bCs/>
        </w:rPr>
        <w:t xml:space="preserve">α is the rate at which we will reject a true null hypothesis (Type I error rate)</w:t>
      </w:r>
    </w:p>
    <w:p>
      <w:pPr>
        <w:pStyle w:val="Compact"/>
        <w:numPr>
          <w:ilvl w:val="0"/>
          <w:numId w:val="1016"/>
        </w:numPr>
      </w:pPr>
      <w:r>
        <w:t xml:space="preserve">Lowering α lowers the likelihood of incorrectly rejecting a true H₀ (e.g., 0.01, 0.001)</w:t>
      </w:r>
    </w:p>
    <w:p>
      <w:pPr>
        <w:pStyle w:val="Compact"/>
        <w:numPr>
          <w:ilvl w:val="0"/>
          <w:numId w:val="1016"/>
        </w:numPr>
      </w:pPr>
      <w:r>
        <w:rPr>
          <w:i/>
          <w:iCs/>
        </w:rPr>
        <w:t xml:space="preserve">Both hypotheses and α are specified BEFORE data collection and analysis</w:t>
      </w:r>
    </w:p>
    <w:p>
      <w:pPr>
        <w:pStyle w:val="FirstParagraph"/>
      </w:pPr>
      <w:r>
        <w:t xml:space="preserve">Traditionally, α = 0.05 is used as the cutoff for rejecting H₀. There is nothing magical about 0.05 — actual p-values should be reported, and α still needs to be decided prior to the study.</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p-value range</w:t>
            </w:r>
          </w:p>
        </w:tc>
        <w:tc>
          <w:tcPr/>
          <w:p>
            <w:pPr>
              <w:pStyle w:val="Compact"/>
            </w:pPr>
            <w:r>
              <w:t xml:space="preserve">Interpretation</w:t>
            </w:r>
          </w:p>
        </w:tc>
      </w:tr>
      <w:tr>
        <w:tc>
          <w:tcPr/>
          <w:p>
            <w:pPr>
              <w:pStyle w:val="Compact"/>
            </w:pPr>
            <w:r>
              <w:t xml:space="preserve">P &gt; 0.10</w:t>
            </w:r>
          </w:p>
        </w:tc>
        <w:tc>
          <w:tcPr/>
          <w:p>
            <w:pPr>
              <w:pStyle w:val="Compact"/>
            </w:pPr>
            <w:r>
              <w:t xml:space="preserve">No evidence against H₀ — data appear consistent with H₀</w:t>
            </w:r>
          </w:p>
        </w:tc>
      </w:tr>
      <w:tr>
        <w:tc>
          <w:tcPr/>
          <w:p>
            <w:pPr>
              <w:pStyle w:val="Compact"/>
            </w:pPr>
            <w:r>
              <w:t xml:space="preserve">0.05 &lt; P &lt; 0.10</w:t>
            </w:r>
          </w:p>
        </w:tc>
        <w:tc>
          <w:tcPr/>
          <w:p>
            <w:pPr>
              <w:pStyle w:val="Compact"/>
            </w:pPr>
            <w:r>
              <w:t xml:space="preserve">Weak evidence against H₀ in favor of Hₐ</w:t>
            </w:r>
          </w:p>
        </w:tc>
      </w:tr>
      <w:tr>
        <w:tc>
          <w:tcPr/>
          <w:p>
            <w:pPr>
              <w:pStyle w:val="Compact"/>
            </w:pPr>
            <w:r>
              <w:t xml:space="preserve">0.01 &lt; P &lt; 0.05</w:t>
            </w:r>
          </w:p>
        </w:tc>
        <w:tc>
          <w:tcPr/>
          <w:p>
            <w:pPr>
              <w:pStyle w:val="Compact"/>
            </w:pPr>
            <w:r>
              <w:t xml:space="preserve">Moderate evidence against H₀ in favor of Hₐ</w:t>
            </w:r>
          </w:p>
        </w:tc>
      </w:tr>
      <w:tr>
        <w:tc>
          <w:tcPr/>
          <w:p>
            <w:pPr>
              <w:pStyle w:val="Compact"/>
            </w:pPr>
            <w:r>
              <w:t xml:space="preserve">0.001 &lt; P &lt; 0.01</w:t>
            </w:r>
          </w:p>
        </w:tc>
        <w:tc>
          <w:tcPr/>
          <w:p>
            <w:pPr>
              <w:pStyle w:val="Compact"/>
            </w:pPr>
            <w:r>
              <w:t xml:space="preserve">Strong evidence against H₀ in favor of Hₐ</w:t>
            </w:r>
          </w:p>
        </w:tc>
      </w:tr>
      <w:tr>
        <w:tc>
          <w:tcPr/>
          <w:p>
            <w:pPr>
              <w:pStyle w:val="Compact"/>
            </w:pPr>
            <w:r>
              <w:t xml:space="preserve">P &lt; 0.001</w:t>
            </w:r>
          </w:p>
        </w:tc>
        <w:tc>
          <w:tcPr/>
          <w:p>
            <w:pPr>
              <w:pStyle w:val="Compact"/>
            </w:pPr>
            <w:r>
              <w:t xml:space="preserve">Very strong evidence against H₀ in favor of Hₐ</w:t>
            </w:r>
          </w:p>
        </w:tc>
      </w:tr>
    </w:tbl>
    <w:bookmarkEnd w:id="43"/>
    <w:bookmarkStart w:id="47" w:name="understanding-p-values-visually"/>
    <w:p>
      <w:pPr>
        <w:pStyle w:val="Heading2"/>
      </w:pPr>
      <w:r>
        <w:t xml:space="preserve">Understanding P-Values Visually</w:t>
      </w:r>
    </w:p>
    <w:p>
      <w:pPr>
        <w:pStyle w:val="FirstParagraph"/>
      </w:pPr>
      <w:r>
        <w:t xml:space="preserve">A</w:t>
      </w:r>
      <w:r>
        <w:t xml:space="preserve"> </w:t>
      </w:r>
      <w:r>
        <w:rPr>
          <w:b/>
          <w:bCs/>
        </w:rPr>
        <w:t xml:space="preserve">p-value</w:t>
      </w:r>
      <w:r>
        <w:t xml:space="preserve"> </w:t>
      </w:r>
      <w:r>
        <w:t xml:space="preserve">is the probability of observing the sample result (or something more extreme) if the null hypothesis is true.</w:t>
      </w:r>
    </w:p>
    <w:p>
      <w:pPr>
        <w:pStyle w:val="BodyText"/>
      </w:pPr>
      <w:r>
        <w:rPr>
          <w:b/>
          <w:bCs/>
        </w:rPr>
        <w:t xml:space="preserve">Common interpretations:</w:t>
      </w:r>
    </w:p>
    <w:p>
      <w:pPr>
        <w:pStyle w:val="Compact"/>
        <w:numPr>
          <w:ilvl w:val="0"/>
          <w:numId w:val="1017"/>
        </w:numPr>
      </w:pPr>
      <w:r>
        <w:t xml:space="preserve">p &lt; 0.05: strong evidence against H₀</w:t>
      </w:r>
    </w:p>
    <w:p>
      <w:pPr>
        <w:pStyle w:val="Compact"/>
        <w:numPr>
          <w:ilvl w:val="0"/>
          <w:numId w:val="1017"/>
        </w:numPr>
      </w:pPr>
      <w:r>
        <w:t xml:space="preserve">0.05 ≤ p &lt; 0.10: moderate evidence against H₀</w:t>
      </w:r>
    </w:p>
    <w:p>
      <w:pPr>
        <w:pStyle w:val="Compact"/>
        <w:numPr>
          <w:ilvl w:val="0"/>
          <w:numId w:val="1017"/>
        </w:numPr>
      </w:pPr>
      <w:r>
        <w:t xml:space="preserve">p ≥ 0.10: insufficient evidence against H₀</w:t>
      </w:r>
    </w:p>
    <w:p>
      <w:pPr>
        <w:pStyle w:val="FirstParagraph"/>
      </w:pPr>
      <w:r>
        <w:rPr>
          <w:b/>
          <w:bCs/>
        </w:rPr>
        <w:t xml:space="preserve">Common misinterpretations:</w:t>
      </w:r>
    </w:p>
    <w:p>
      <w:pPr>
        <w:pStyle w:val="Compact"/>
        <w:numPr>
          <w:ilvl w:val="0"/>
          <w:numId w:val="1018"/>
        </w:numPr>
      </w:pPr>
      <w:r>
        <w:t xml:space="preserve">p-value is</w:t>
      </w:r>
      <w:r>
        <w:t xml:space="preserve"> </w:t>
      </w:r>
      <w:r>
        <w:rPr>
          <w:b/>
          <w:bCs/>
        </w:rPr>
        <w:t xml:space="preserve">NOT</w:t>
      </w:r>
      <w:r>
        <w:t xml:space="preserve"> </w:t>
      </w:r>
      <w:r>
        <w:t xml:space="preserve">the probability that H₀ is true</w:t>
      </w:r>
    </w:p>
    <w:p>
      <w:pPr>
        <w:pStyle w:val="Compact"/>
        <w:numPr>
          <w:ilvl w:val="0"/>
          <w:numId w:val="1018"/>
        </w:numPr>
      </w:pPr>
      <w:r>
        <w:t xml:space="preserve">p-value is</w:t>
      </w:r>
      <w:r>
        <w:t xml:space="preserve"> </w:t>
      </w:r>
      <w:r>
        <w:rPr>
          <w:b/>
          <w:bCs/>
        </w:rPr>
        <w:t xml:space="preserve">NOT</w:t>
      </w:r>
      <w:r>
        <w:t xml:space="preserve"> </w:t>
      </w:r>
      <w:r>
        <w:t xml:space="preserve">the probability that results occurred by chance</w:t>
      </w:r>
    </w:p>
    <w:p>
      <w:pPr>
        <w:pStyle w:val="Compact"/>
        <w:numPr>
          <w:ilvl w:val="0"/>
          <w:numId w:val="1018"/>
        </w:numPr>
      </w:pPr>
      <w:r>
        <w:t xml:space="preserve">Statistical significance ≠ practical significance</w:t>
      </w:r>
    </w:p>
    <w:p>
      <w:pPr>
        <w:pStyle w:val="FirstParagraph"/>
      </w:pPr>
      <w:r>
        <w:t xml:space="preserve">Note there’s a difference in how the hypotheses are stated for a one-sample vs. a two-sample t-test.</w:t>
      </w:r>
    </w:p>
    <w:p>
      <w:pPr>
        <w:pStyle w:val="BodyText"/>
      </w:pPr>
      <w:r>
        <w:drawing>
          <wp:inline>
            <wp:extent cx="3119357" cy="2935866"/>
            <wp:effectExtent b="0" l="0" r="0" t="0"/>
            <wp:docPr descr="" title="" id="45" name="Picture"/>
            <a:graphic>
              <a:graphicData uri="http://schemas.openxmlformats.org/drawingml/2006/picture">
                <pic:pic>
                  <pic:nvPicPr>
                    <pic:cNvPr descr="power_and_error_lecture_files/figure-docx/unnamed-chunk-1-1.png" id="46" name="Picture"/>
                    <pic:cNvPicPr>
                      <a:picLocks noChangeArrowheads="1" noChangeAspect="1"/>
                    </pic:cNvPicPr>
                  </pic:nvPicPr>
                  <pic:blipFill>
                    <a:blip r:embed="rId44"/>
                    <a:stretch>
                      <a:fillRect/>
                    </a:stretch>
                  </pic:blipFill>
                  <pic:spPr bwMode="auto">
                    <a:xfrm>
                      <a:off x="0" y="0"/>
                      <a:ext cx="3119357" cy="2935866"/>
                    </a:xfrm>
                    <a:prstGeom prst="rect">
                      <a:avLst/>
                    </a:prstGeom>
                    <a:noFill/>
                    <a:ln w="9525">
                      <a:noFill/>
                      <a:headEnd/>
                      <a:tailEnd/>
                    </a:ln>
                  </pic:spPr>
                </pic:pic>
              </a:graphicData>
            </a:graphic>
          </wp:inline>
        </w:drawing>
      </w:r>
    </w:p>
    <w:bookmarkEnd w:id="47"/>
    <w:bookmarkStart w:id="48" w:name="part-4-historical-context"/>
    <w:p>
      <w:pPr>
        <w:pStyle w:val="Heading2"/>
      </w:pPr>
      <w:r>
        <w:t xml:space="preserve">Part 4 · Historical Context</w:t>
      </w:r>
    </w:p>
    <w:bookmarkEnd w:id="48"/>
    <w:bookmarkStart w:id="52" w:name="historical-context"/>
    <w:p>
      <w:pPr>
        <w:pStyle w:val="Heading2"/>
      </w:pPr>
      <w:r>
        <w:t xml:space="preserve">Historical Context</w:t>
      </w:r>
    </w:p>
    <w:p>
      <w:pPr>
        <w:pStyle w:val="CaptionedFigure"/>
      </w:pPr>
      <w:r>
        <w:drawing>
          <wp:inline>
            <wp:extent cx="3621024" cy="2743200"/>
            <wp:effectExtent b="0" l="0" r="0" t="0"/>
            <wp:docPr descr="Screenshot of a Nature comment article titled ‘Scientists rise up against statistical significance,’ by Valentin Amrhein, Sander Greenland, Blake McShane and 800+ signatories, illustrated with a cartoon of two scientists shelving a book labeled ‘Statistical Significance’ in a dusty cabinet of retired scientific relics like phlogiston and spontaneous generation, symbolizing calls to retire strict significance thresholds." title="" id="50" name="Picture"/>
            <a:graphic>
              <a:graphicData uri="http://schemas.openxmlformats.org/drawingml/2006/picture">
                <pic:pic>
                  <pic:nvPicPr>
                    <pic:cNvPr descr="images/clipboard-3329723408.png" id="51" name="Picture"/>
                    <pic:cNvPicPr>
                      <a:picLocks noChangeArrowheads="1" noChangeAspect="1"/>
                    </pic:cNvPicPr>
                  </pic:nvPicPr>
                  <pic:blipFill>
                    <a:blip r:embed="rId49"/>
                    <a:stretch>
                      <a:fillRect/>
                    </a:stretch>
                  </pic:blipFill>
                  <pic:spPr bwMode="auto">
                    <a:xfrm>
                      <a:off x="0" y="0"/>
                      <a:ext cx="3621024" cy="2743200"/>
                    </a:xfrm>
                    <a:prstGeom prst="rect">
                      <a:avLst/>
                    </a:prstGeom>
                    <a:noFill/>
                    <a:ln w="9525">
                      <a:noFill/>
                      <a:headEnd/>
                      <a:tailEnd/>
                    </a:ln>
                  </pic:spPr>
                </pic:pic>
              </a:graphicData>
            </a:graphic>
          </wp:inline>
        </w:drawing>
      </w:r>
    </w:p>
    <w:p>
      <w:pPr>
        <w:pStyle w:val="ImageCaption"/>
      </w:pPr>
      <w:r>
        <w:t xml:space="preserve">Screenshot of a Nature comment article titled</w:t>
      </w:r>
      <w:r>
        <w:t xml:space="preserve"> </w:t>
      </w:r>
      <w:r>
        <w:t xml:space="preserve">‘Scientists rise up against statistical significance,’</w:t>
      </w:r>
      <w:r>
        <w:t xml:space="preserve"> </w:t>
      </w:r>
      <w:r>
        <w:t xml:space="preserve">by Valentin Amrhein, Sander Greenland, Blake McShane and 800+ signatories, illustrated with a cartoon of two scientists shelving a book labeled</w:t>
      </w:r>
      <w:r>
        <w:t xml:space="preserve"> </w:t>
      </w:r>
      <w:r>
        <w:t xml:space="preserve">‘Statistical Significance’</w:t>
      </w:r>
      <w:r>
        <w:t xml:space="preserve"> </w:t>
      </w:r>
      <w:r>
        <w:t xml:space="preserve">in a dusty cabinet of retired scientific relics like phlogiston and spontaneous generation, symbolizing calls to retire strict significance thresholds.</w:t>
      </w:r>
    </w:p>
    <w:bookmarkEnd w:id="52"/>
    <w:bookmarkStart w:id="56" w:name="fishers-perspective"/>
    <w:p>
      <w:pPr>
        <w:pStyle w:val="Heading2"/>
      </w:pPr>
      <w:r>
        <w:t xml:space="preserve">Fisher’s Perspective</w:t>
      </w:r>
    </w:p>
    <w:p>
      <w:pPr>
        <w:pStyle w:val="BlockText"/>
      </w:pPr>
      <w:r>
        <w:t xml:space="preserve">“If p is between 0.1 and 0.9 there is certainly no reason to suspect the hypothesis tested. If it is below 0.02 it is strongly indicated that the hypothesis fails to account for the whole of the facts. We shall not often be astray if we draw a conventional line at .05 …”</w:t>
      </w:r>
    </w:p>
    <w:p>
      <w:pPr>
        <w:pStyle w:val="FirstParagraph"/>
      </w:pPr>
      <w:r>
        <w:t xml:space="preserve">— R.A. Fisher, on the p-value as an informal measure of discrepancy between data and H₀</w:t>
      </w:r>
    </w:p>
    <w:p>
      <w:pPr>
        <w:pStyle w:val="CaptionedFigure"/>
      </w:pPr>
      <w:r>
        <w:drawing>
          <wp:inline>
            <wp:extent cx="2852928" cy="2377440"/>
            <wp:effectExtent b="0" l="0" r="0" t="0"/>
            <wp:docPr descr="Vintage black-and-white photo of an older bearded man in glasses smoking a pipe outdoors, believed to depict R.A. Fisher, whose quote on interpreting p-values appears alongside it." title="" id="54" name="Picture"/>
            <a:graphic>
              <a:graphicData uri="http://schemas.openxmlformats.org/drawingml/2006/picture">
                <pic:pic>
                  <pic:nvPicPr>
                    <pic:cNvPr descr="images/clipboard-694363384.png" id="55" name="Picture"/>
                    <pic:cNvPicPr>
                      <a:picLocks noChangeArrowheads="1" noChangeAspect="1"/>
                    </pic:cNvPicPr>
                  </pic:nvPicPr>
                  <pic:blipFill>
                    <a:blip r:embed="rId53"/>
                    <a:stretch>
                      <a:fillRect/>
                    </a:stretch>
                  </pic:blipFill>
                  <pic:spPr bwMode="auto">
                    <a:xfrm>
                      <a:off x="0" y="0"/>
                      <a:ext cx="2852928" cy="2377440"/>
                    </a:xfrm>
                    <a:prstGeom prst="rect">
                      <a:avLst/>
                    </a:prstGeom>
                    <a:noFill/>
                    <a:ln w="9525">
                      <a:noFill/>
                      <a:headEnd/>
                      <a:tailEnd/>
                    </a:ln>
                  </pic:spPr>
                </pic:pic>
              </a:graphicData>
            </a:graphic>
          </wp:inline>
        </w:drawing>
      </w:r>
    </w:p>
    <w:p>
      <w:pPr>
        <w:pStyle w:val="ImageCaption"/>
      </w:pPr>
      <w:r>
        <w:t xml:space="preserve">Vintage black-and-white photo of an older bearded man in glasses smoking a pipe outdoors, believed to depict R.A. Fisher, whose quote on interpreting p-values appears alongside it.</w:t>
      </w:r>
    </w:p>
    <w:bookmarkEnd w:id="56"/>
    <w:bookmarkStart w:id="57" w:name="part-5-decision-errors"/>
    <w:p>
      <w:pPr>
        <w:pStyle w:val="Heading2"/>
      </w:pPr>
      <w:r>
        <w:t xml:space="preserve">Part 5 · Decision Errors</w:t>
      </w:r>
    </w:p>
    <w:bookmarkEnd w:id="57"/>
    <w:bookmarkStart w:id="63" w:name="decision-errors"/>
    <w:p>
      <w:pPr>
        <w:pStyle w:val="Heading2"/>
      </w:pPr>
      <w:r>
        <w:t xml:space="preserve">Decision Errors</w:t>
      </w:r>
    </w:p>
    <w:p>
      <w:pPr>
        <w:pStyle w:val="Compact"/>
        <w:numPr>
          <w:ilvl w:val="0"/>
          <w:numId w:val="1019"/>
        </w:numPr>
      </w:pPr>
      <w:r>
        <w:rPr>
          <w:b/>
          <w:bCs/>
        </w:rPr>
        <w:t xml:space="preserve">Even good studies can reach incorrect conclusions</w:t>
      </w:r>
    </w:p>
    <w:p>
      <w:pPr>
        <w:pStyle w:val="Compact"/>
        <w:numPr>
          <w:ilvl w:val="0"/>
          <w:numId w:val="1019"/>
        </w:numPr>
      </w:pPr>
      <w:r>
        <w:t xml:space="preserve">These are called</w:t>
      </w:r>
      <w:r>
        <w:t xml:space="preserve"> </w:t>
      </w:r>
      <w:r>
        <w:t xml:space="preserve">“decision errors”</w:t>
      </w:r>
    </w:p>
    <w:p>
      <w:pPr>
        <w:pStyle w:val="Compact"/>
        <w:numPr>
          <w:ilvl w:val="0"/>
          <w:numId w:val="1019"/>
        </w:numPr>
      </w:pPr>
      <w:r>
        <w:t xml:space="preserve">There are two types of decision errors</w:t>
      </w:r>
    </w:p>
    <w:p>
      <w:pPr>
        <w:pStyle w:val="Compact"/>
        <w:numPr>
          <w:ilvl w:val="0"/>
          <w:numId w:val="1019"/>
        </w:numPr>
      </w:pPr>
      <w:r>
        <w:t xml:space="preserve">We want to know the probability of making each of them</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FirstParagraph"/>
            </w:pPr>
            <w:pPr>
              <w:spacing w:before="0" w:after="0"/>
              <w:textAlignment w:val="center"/>
            </w:pPr>
            <w:r>
              <w:drawing>
                <wp:inline>
                  <wp:extent cx="152400" cy="152400"/>
                  <wp:effectExtent b="0" l="0" r="0" t="0"/>
                  <wp:docPr descr="" title="" id="58" name="Picture"/>
                  <a:graphic>
                    <a:graphicData uri="http://schemas.openxmlformats.org/drawingml/2006/picture">
                      <pic:pic>
                        <pic:nvPicPr>
                          <pic:cNvPr descr="/Applications/Positron.app/Contents/Resources/app/quarto/share/formats/docx/note.png" id="59" name="Picture"/>
                          <pic:cNvPicPr>
                            <a:picLocks noChangeArrowheads="1" noChangeAspect="1"/>
                          </pic:cNvPicPr>
                        </pic:nvPicPr>
                        <pic:blipFill>
                          <a:blip r:embed="rId9"/>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Note</w:t>
            </w:r>
          </w:p>
        </w:tc>
      </w:tr>
      <w:tr>
        <w:trPr>
          <w:cantSplit/>
        </w:trPr>
        <w:tc>
          <w:tcPr>
            <w:tcMar>
              <w:top w:w="108" w:type="dxa"/>
              <w:bottom w:w="108" w:type="dxa"/>
            </w:tcMar>
          </w:tcPr>
          <w:p>
            <w:pPr>
              <w:pStyle w:val="BodyText"/>
            </w:pPr>
            <w:pPr>
              <w:spacing w:before="16"/>
            </w:pPr>
            <w:r>
              <w:rPr>
                <w:b/>
                <w:bCs/>
              </w:rPr>
              <w:t xml:space="preserve">📖 Reference</w:t>
            </w:r>
          </w:p>
          <w:p>
            <w:pPr>
              <w:pStyle w:val="BodyText"/>
            </w:pPr>
            <w:pPr>
              <w:spacing w:after="16"/>
            </w:pPr>
            <w:r>
              <w:t xml:space="preserve">Gotelli &amp; Ellison, Ch. 4 — the</w:t>
            </w:r>
            <w:r>
              <w:t xml:space="preserve"> </w:t>
            </w:r>
            <w:r>
              <w:t xml:space="preserve">“Errors in Hypothesis Testing”</w:t>
            </w:r>
            <w:r>
              <w:t xml:space="preserve"> </w:t>
            </w:r>
            <w:r>
              <w:t xml:space="preserve">section covers exactly this material.</w:t>
            </w:r>
          </w:p>
          <w:p/>
        </w:tc>
      </w:tr>
    </w:tbl>
    <w:p>
      <w:pPr>
        <w:pStyle w:val="CaptionedFigure"/>
      </w:pPr>
      <w:r>
        <w:drawing>
          <wp:inline>
            <wp:extent cx="3337560" cy="2670048"/>
            <wp:effectExtent b="0" l="0" r="0" t="0"/>
            <wp:docPr descr="2x2 decision-error table crossing population situation (Effect exists vs. No Effect) with statistical conclusion (Reject H0 vs. Fail to Reject H0): correct decisions on the diagonal, a red-outlined ‘False Negative / Type II Error’ cell (fail to reject when an effect exists), and a red-outlined ‘False Positive / Type I Error’ cell (reject when no effect exists)." title="" id="61" name="Picture"/>
            <a:graphic>
              <a:graphicData uri="http://schemas.openxmlformats.org/drawingml/2006/picture">
                <pic:pic>
                  <pic:nvPicPr>
                    <pic:cNvPr descr="images/clipboard-1430957016.png" id="62" name="Picture"/>
                    <pic:cNvPicPr>
                      <a:picLocks noChangeArrowheads="1" noChangeAspect="1"/>
                    </pic:cNvPicPr>
                  </pic:nvPicPr>
                  <pic:blipFill>
                    <a:blip r:embed="rId60"/>
                    <a:stretch>
                      <a:fillRect/>
                    </a:stretch>
                  </pic:blipFill>
                  <pic:spPr bwMode="auto">
                    <a:xfrm>
                      <a:off x="0" y="0"/>
                      <a:ext cx="3337560" cy="2670048"/>
                    </a:xfrm>
                    <a:prstGeom prst="rect">
                      <a:avLst/>
                    </a:prstGeom>
                    <a:noFill/>
                    <a:ln w="9525">
                      <a:noFill/>
                      <a:headEnd/>
                      <a:tailEnd/>
                    </a:ln>
                  </pic:spPr>
                </pic:pic>
              </a:graphicData>
            </a:graphic>
          </wp:inline>
        </w:drawing>
      </w:r>
    </w:p>
    <w:p>
      <w:pPr>
        <w:pStyle w:val="ImageCaption"/>
      </w:pPr>
      <w:r>
        <w:t xml:space="preserve">2x2 decision-error table crossing population situation (Effect exists vs. No Effect) with statistical conclusion (Reject H0 vs. Fail to Reject H0): correct decisions on the diagonal, a red-outlined</w:t>
      </w:r>
      <w:r>
        <w:t xml:space="preserve"> </w:t>
      </w:r>
      <w:r>
        <w:t xml:space="preserve">‘False Negative / Type II Error’</w:t>
      </w:r>
      <w:r>
        <w:t xml:space="preserve"> </w:t>
      </w:r>
      <w:r>
        <w:t xml:space="preserve">cell (fail to reject when an effect exists), and a red-outlined</w:t>
      </w:r>
      <w:r>
        <w:t xml:space="preserve"> </w:t>
      </w:r>
      <w:r>
        <w:t xml:space="preserve">‘False Positive / Type I Error’</w:t>
      </w:r>
      <w:r>
        <w:t xml:space="preserve"> </w:t>
      </w:r>
      <w:r>
        <w:t xml:space="preserve">cell (reject when no effect exists).</w:t>
      </w:r>
    </w:p>
    <w:bookmarkEnd w:id="63"/>
    <w:bookmarkStart w:id="67" w:name="type-i-and-type-ii-errors-concept"/>
    <w:p>
      <w:pPr>
        <w:pStyle w:val="Heading2"/>
      </w:pPr>
      <w:r>
        <w:t xml:space="preserve">Type I and Type II Errors — Concept</w:t>
      </w:r>
    </w:p>
    <w:p>
      <w:pPr>
        <w:pStyle w:val="Compact"/>
        <w:numPr>
          <w:ilvl w:val="0"/>
          <w:numId w:val="1020"/>
        </w:numPr>
      </w:pPr>
      <w:r>
        <w:rPr>
          <w:b/>
          <w:bCs/>
        </w:rPr>
        <w:t xml:space="preserve">Type I error rate, α</w:t>
      </w:r>
      <w:r>
        <w:t xml:space="preserve">: wrongly reject H₀ when it’s true</w:t>
      </w:r>
    </w:p>
    <w:p>
      <w:pPr>
        <w:pStyle w:val="Compact"/>
        <w:numPr>
          <w:ilvl w:val="1"/>
          <w:numId w:val="1021"/>
        </w:numPr>
      </w:pPr>
      <w:r>
        <w:t xml:space="preserve">α = 0.05 means a Type I error rate of 5%</w:t>
      </w:r>
    </w:p>
    <w:p>
      <w:pPr>
        <w:pStyle w:val="Compact"/>
        <w:numPr>
          <w:ilvl w:val="0"/>
          <w:numId w:val="1020"/>
        </w:numPr>
      </w:pPr>
      <w:r>
        <w:rPr>
          <w:b/>
          <w:bCs/>
        </w:rPr>
        <w:t xml:space="preserve">Type II error rate, β</w:t>
      </w:r>
      <w:r>
        <w:t xml:space="preserve">: wrongly fail to reject H₀ when it’s false</w:t>
      </w:r>
    </w:p>
    <w:p>
      <w:pPr>
        <w:pStyle w:val="Compact"/>
        <w:numPr>
          <w:ilvl w:val="0"/>
          <w:numId w:val="1020"/>
        </w:numPr>
      </w:pPr>
      <w:r>
        <w:rPr>
          <w:b/>
          <w:bCs/>
        </w:rPr>
        <w:t xml:space="preserve">Power = 1 − β</w:t>
      </w:r>
      <w:r>
        <w:t xml:space="preserve">: the probability of correctly rejecting H₀ when Hₐ is true</w:t>
      </w:r>
    </w:p>
    <w:p>
      <w:pPr>
        <w:pStyle w:val="Compact"/>
        <w:numPr>
          <w:ilvl w:val="0"/>
          <w:numId w:val="1020"/>
        </w:numPr>
      </w:pPr>
      <w:r>
        <w:t xml:space="preserve">Inverse relationship between Type I and Type II error — but not a straightforward one</w:t>
      </w:r>
    </w:p>
    <w:p>
      <w:pPr>
        <w:pStyle w:val="Compact"/>
        <w:numPr>
          <w:ilvl w:val="0"/>
          <w:numId w:val="1020"/>
        </w:numPr>
      </w:pPr>
      <w:r>
        <w:t xml:space="preserve">Can result from chance — a sample not representative of the population</w:t>
      </w:r>
    </w:p>
    <w:p>
      <w:pPr>
        <w:pStyle w:val="Compact"/>
        <w:numPr>
          <w:ilvl w:val="0"/>
          <w:numId w:val="1020"/>
        </w:numPr>
      </w:pPr>
      <w:r>
        <w:rPr>
          <w:b/>
          <w:bCs/>
        </w:rPr>
        <w:t xml:space="preserve">Which type of error is more dangerous?</w:t>
      </w:r>
    </w:p>
    <w:p>
      <w:pPr>
        <w:pStyle w:val="CaptionedFigure"/>
      </w:pPr>
      <w:r>
        <w:drawing>
          <wp:inline>
            <wp:extent cx="2852928" cy="2139696"/>
            <wp:effectExtent b="0" l="0" r="0" t="0"/>
            <wp:docPr descr="Two overlapping bell curves labeled H0 (Null Hypothesis) and H1 (Your Hypothesis), with a dashed vertical decision line where the small area of the H0 curve past the line is shaded teal and labeled alpha/Type I error, and the area of the H1 curve before the line is shaded orange and labeled beta/Type II error." title="" id="65" name="Picture"/>
            <a:graphic>
              <a:graphicData uri="http://schemas.openxmlformats.org/drawingml/2006/picture">
                <pic:pic>
                  <pic:nvPicPr>
                    <pic:cNvPr descr="images/clipboard-4092094638.png" id="66" name="Picture"/>
                    <pic:cNvPicPr>
                      <a:picLocks noChangeArrowheads="1" noChangeAspect="1"/>
                    </pic:cNvPicPr>
                  </pic:nvPicPr>
                  <pic:blipFill>
                    <a:blip r:embed="rId64"/>
                    <a:stretch>
                      <a:fillRect/>
                    </a:stretch>
                  </pic:blipFill>
                  <pic:spPr bwMode="auto">
                    <a:xfrm>
                      <a:off x="0" y="0"/>
                      <a:ext cx="2852928" cy="2139696"/>
                    </a:xfrm>
                    <a:prstGeom prst="rect">
                      <a:avLst/>
                    </a:prstGeom>
                    <a:noFill/>
                    <a:ln w="9525">
                      <a:noFill/>
                      <a:headEnd/>
                      <a:tailEnd/>
                    </a:ln>
                  </pic:spPr>
                </pic:pic>
              </a:graphicData>
            </a:graphic>
          </wp:inline>
        </w:drawing>
      </w:r>
    </w:p>
    <w:p>
      <w:pPr>
        <w:pStyle w:val="ImageCaption"/>
      </w:pPr>
      <w:r>
        <w:t xml:space="preserve">Two overlapping bell curves labeled H0 (Null Hypothesis) and H1 (Your Hypothesis), with a dashed vertical decision line where the small area of the H0 curve past the line is shaded teal and labeled alpha/Type I error, and the area of the H1 curve before the line is shaded orange and labeled beta/Type II error.</w:t>
      </w:r>
    </w:p>
    <w:p>
      <w:pPr>
        <w:pStyle w:val="BodyText"/>
      </w:pPr>
      <w:r>
        <w:t xml:space="preserve">the dotted line is α = 0.05</w:t>
      </w:r>
    </w:p>
    <w:bookmarkEnd w:id="67"/>
    <w:bookmarkStart w:id="71" w:name="type-i-and-type-ii-errors-illustrated"/>
    <w:p>
      <w:pPr>
        <w:pStyle w:val="Heading2"/>
      </w:pPr>
      <w:r>
        <w:t xml:space="preserve">Type I and Type II Errors — Illustrated</w:t>
      </w:r>
    </w:p>
    <w:p>
      <w:pPr>
        <w:pStyle w:val="FirstParagraph"/>
      </w:pPr>
      <w:r>
        <w:t xml:space="preserve">When making decisions based on hypothesis tests, two types of errors can occur:</w:t>
      </w:r>
    </w:p>
    <w:p>
      <w:pPr>
        <w:pStyle w:val="BodyText"/>
      </w:pPr>
      <w:r>
        <w:rPr>
          <w:b/>
          <w:bCs/>
        </w:rPr>
        <w:t xml:space="preserve">Type I Error (False Positive)</w:t>
      </w:r>
    </w:p>
    <w:p>
      <w:pPr>
        <w:pStyle w:val="Compact"/>
        <w:numPr>
          <w:ilvl w:val="0"/>
          <w:numId w:val="1022"/>
        </w:numPr>
      </w:pPr>
      <w:r>
        <w:t xml:space="preserve">Rejecting H₀ when it’s actually true</w:t>
      </w:r>
    </w:p>
    <w:p>
      <w:pPr>
        <w:pStyle w:val="Compact"/>
        <w:numPr>
          <w:ilvl w:val="0"/>
          <w:numId w:val="1022"/>
        </w:numPr>
      </w:pPr>
      <w:r>
        <w:t xml:space="preserve">Probability = α (significance level)</w:t>
      </w:r>
    </w:p>
    <w:p>
      <w:pPr>
        <w:pStyle w:val="Compact"/>
        <w:numPr>
          <w:ilvl w:val="0"/>
          <w:numId w:val="1022"/>
        </w:numPr>
      </w:pPr>
      <w:r>
        <w:t xml:space="preserve">“Finding an effect that isn’t real”</w:t>
      </w:r>
    </w:p>
    <w:p>
      <w:pPr>
        <w:pStyle w:val="FirstParagraph"/>
      </w:pPr>
      <w:r>
        <w:rPr>
          <w:b/>
          <w:bCs/>
        </w:rPr>
        <w:t xml:space="preserve">Type II Error (False Negative)</w:t>
      </w:r>
    </w:p>
    <w:p>
      <w:pPr>
        <w:pStyle w:val="Compact"/>
        <w:numPr>
          <w:ilvl w:val="0"/>
          <w:numId w:val="1023"/>
        </w:numPr>
      </w:pPr>
      <w:r>
        <w:t xml:space="preserve">Failing to reject H₀ when it’s actually false</w:t>
      </w:r>
    </w:p>
    <w:p>
      <w:pPr>
        <w:pStyle w:val="Compact"/>
        <w:numPr>
          <w:ilvl w:val="0"/>
          <w:numId w:val="1023"/>
        </w:numPr>
      </w:pPr>
      <w:r>
        <w:t xml:space="preserve">Probability = β —</w:t>
      </w:r>
      <w:r>
        <w:t xml:space="preserve"> </w:t>
      </w:r>
      <w:r>
        <w:t xml:space="preserve">“missing an effect that is real”</w:t>
      </w:r>
    </w:p>
    <w:p>
      <w:pPr>
        <w:pStyle w:val="FirstParagraph"/>
      </w:pPr>
      <w:r>
        <w:rPr>
          <w:b/>
          <w:bCs/>
        </w:rPr>
        <w:t xml:space="preserve">Statistical Power = 1 − β</w:t>
      </w:r>
    </w:p>
    <w:p>
      <w:pPr>
        <w:pStyle w:val="Compact"/>
        <w:numPr>
          <w:ilvl w:val="0"/>
          <w:numId w:val="1024"/>
        </w:numPr>
      </w:pPr>
      <w:r>
        <w:t xml:space="preserve">Probability of correctly rejecting a false H₀</w:t>
      </w:r>
    </w:p>
    <w:p>
      <w:pPr>
        <w:pStyle w:val="Compact"/>
        <w:numPr>
          <w:ilvl w:val="0"/>
          <w:numId w:val="1024"/>
        </w:numPr>
      </w:pPr>
      <w:r>
        <w:t xml:space="preserve">Increases with: larger sample size, larger effect size, lower variability, higher α level</w:t>
      </w:r>
    </w:p>
    <w:p>
      <w:pPr>
        <w:pStyle w:val="FirstParagraph"/>
      </w:pPr>
      <w:r>
        <w:t xml:space="preserve">The farther apart the means, or the lower the variance, the lower the β error — i.e., the higher the power.</w:t>
      </w:r>
    </w:p>
    <w:p>
      <w:pPr>
        <w:pStyle w:val="CaptionedFigure"/>
      </w:pPr>
      <w:r>
        <w:drawing>
          <wp:inline>
            <wp:extent cx="2852928" cy="2377440"/>
            <wp:effectExtent b="0" l="0" r="0" t="0"/>
            <wp:docPr descr="Humorous side-by-side photo illustration: ‘Type I error (false positive)’ shows a doctor telling a male patient ‘You’re pregnant,’ and ‘Type II error (false negative)’ shows a doctor telling a visibly pregnant woman ‘You’re not pregnant.’" title="" id="69" name="Picture"/>
            <a:graphic>
              <a:graphicData uri="http://schemas.openxmlformats.org/drawingml/2006/picture">
                <pic:pic>
                  <pic:nvPicPr>
                    <pic:cNvPr descr="images/clipboard-3204206464.png" id="70" name="Picture"/>
                    <pic:cNvPicPr>
                      <a:picLocks noChangeArrowheads="1" noChangeAspect="1"/>
                    </pic:cNvPicPr>
                  </pic:nvPicPr>
                  <pic:blipFill>
                    <a:blip r:embed="rId68"/>
                    <a:stretch>
                      <a:fillRect/>
                    </a:stretch>
                  </pic:blipFill>
                  <pic:spPr bwMode="auto">
                    <a:xfrm>
                      <a:off x="0" y="0"/>
                      <a:ext cx="2852928" cy="2377440"/>
                    </a:xfrm>
                    <a:prstGeom prst="rect">
                      <a:avLst/>
                    </a:prstGeom>
                    <a:noFill/>
                    <a:ln w="9525">
                      <a:noFill/>
                      <a:headEnd/>
                      <a:tailEnd/>
                    </a:ln>
                  </pic:spPr>
                </pic:pic>
              </a:graphicData>
            </a:graphic>
          </wp:inline>
        </w:drawing>
      </w:r>
    </w:p>
    <w:p>
      <w:pPr>
        <w:pStyle w:val="ImageCaption"/>
      </w:pPr>
      <w:r>
        <w:t xml:space="preserve">Humorous side-by-side photo illustration:</w:t>
      </w:r>
      <w:r>
        <w:t xml:space="preserve"> </w:t>
      </w:r>
      <w:r>
        <w:t xml:space="preserve">‘Type I error (false positive)’</w:t>
      </w:r>
      <w:r>
        <w:t xml:space="preserve"> </w:t>
      </w:r>
      <w:r>
        <w:t xml:space="preserve">shows a doctor telling a male patient</w:t>
      </w:r>
      <w:r>
        <w:t xml:space="preserve"> </w:t>
      </w:r>
      <w:r>
        <w:t xml:space="preserve">‘You’re pregnant,’</w:t>
      </w:r>
      <w:r>
        <w:t xml:space="preserve"> </w:t>
      </w:r>
      <w:r>
        <w:t xml:space="preserve">and</w:t>
      </w:r>
      <w:r>
        <w:t xml:space="preserve"> </w:t>
      </w:r>
      <w:r>
        <w:t xml:space="preserve">‘Type II error (false negative)’</w:t>
      </w:r>
      <w:r>
        <w:t xml:space="preserve"> </w:t>
      </w:r>
      <w:r>
        <w:t xml:space="preserve">shows a doctor telling a visibly pregnant woman</w:t>
      </w:r>
      <w:r>
        <w:t xml:space="preserve"> </w:t>
      </w:r>
      <w:r>
        <w:t xml:space="preserve">‘You’re not pregnant.’</w:t>
      </w:r>
    </w:p>
    <w:bookmarkEnd w:id="71"/>
    <w:bookmarkStart w:id="75" w:name="Xc768484816b8f073e9e272e1b9b5e2aee7386f3"/>
    <w:p>
      <w:pPr>
        <w:pStyle w:val="Heading2"/>
      </w:pPr>
      <w:r>
        <w:t xml:space="preserve">Type I and Type II Errors — From Real Distributions</w:t>
      </w:r>
    </w:p>
    <w:p>
      <w:pPr>
        <w:pStyle w:val="FirstParagraph"/>
      </w:pPr>
      <w:r>
        <w:t xml:space="preserve">When making decisions based on hypothesis tests, two types of errors can occur:</w:t>
      </w:r>
    </w:p>
    <w:p>
      <w:pPr>
        <w:pStyle w:val="BodyText"/>
      </w:pPr>
      <w:r>
        <w:rPr>
          <w:b/>
          <w:bCs/>
        </w:rPr>
        <w:t xml:space="preserve">Type I Error (False Positive)</w:t>
      </w:r>
      <w:r>
        <w:t xml:space="preserve"> </w:t>
      </w:r>
      <w:r>
        <w:t xml:space="preserve">— rejecting H₀ when it’s actually true. Probability = α.</w:t>
      </w:r>
    </w:p>
    <w:p>
      <w:pPr>
        <w:pStyle w:val="BodyText"/>
      </w:pPr>
      <w:r>
        <w:rPr>
          <w:b/>
          <w:bCs/>
        </w:rPr>
        <w:t xml:space="preserve">Type II Error (False Negative)</w:t>
      </w:r>
      <w:r>
        <w:t xml:space="preserve"> </w:t>
      </w:r>
      <w:r>
        <w:t xml:space="preserve">— failing to reject H₀ when it’s actually false. Probability = β.</w:t>
      </w:r>
    </w:p>
    <w:p>
      <w:pPr>
        <w:pStyle w:val="BodyText"/>
      </w:pPr>
      <w:r>
        <w:rPr>
          <w:b/>
          <w:bCs/>
        </w:rPr>
        <w:t xml:space="preserve">Statistical Power = 1 − β</w:t>
      </w:r>
      <w:r>
        <w:t xml:space="preserve"> </w:t>
      </w:r>
      <w:r>
        <w:t xml:space="preserve">— increases with larger sample size, larger effect size, lower variability, higher α level.</w:t>
      </w:r>
    </w:p>
    <w:p>
      <w:pPr>
        <w:pStyle w:val="BodyText"/>
      </w:pPr>
      <w:r>
        <w:t xml:space="preserve">The farther apart the means, or the lower the variance, the lower the β error — i.e., the higher the power.</w:t>
      </w:r>
    </w:p>
    <w:p>
      <w:pPr>
        <w:pStyle w:val="BodyText"/>
      </w:pPr>
      <w:r>
        <w:drawing>
          <wp:inline>
            <wp:extent cx="3119357" cy="2935866"/>
            <wp:effectExtent b="0" l="0" r="0" t="0"/>
            <wp:docPr descr="" title="" id="73" name="Picture"/>
            <a:graphic>
              <a:graphicData uri="http://schemas.openxmlformats.org/drawingml/2006/picture">
                <pic:pic>
                  <pic:nvPicPr>
                    <pic:cNvPr descr="power_and_error_lecture_files/figure-docx/unnamed-chunk-2-1.png" id="74" name="Picture"/>
                    <pic:cNvPicPr>
                      <a:picLocks noChangeArrowheads="1" noChangeAspect="1"/>
                    </pic:cNvPicPr>
                  </pic:nvPicPr>
                  <pic:blipFill>
                    <a:blip r:embed="rId72"/>
                    <a:stretch>
                      <a:fillRect/>
                    </a:stretch>
                  </pic:blipFill>
                  <pic:spPr bwMode="auto">
                    <a:xfrm>
                      <a:off x="0" y="0"/>
                      <a:ext cx="3119357" cy="2935866"/>
                    </a:xfrm>
                    <a:prstGeom prst="rect">
                      <a:avLst/>
                    </a:prstGeom>
                    <a:noFill/>
                    <a:ln w="9525">
                      <a:noFill/>
                      <a:headEnd/>
                      <a:tailEnd/>
                    </a:ln>
                  </pic:spPr>
                </pic:pic>
              </a:graphicData>
            </a:graphic>
          </wp:inline>
        </w:drawing>
      </w:r>
    </w:p>
    <w:bookmarkEnd w:id="75"/>
    <w:bookmarkStart w:id="79" w:name="X7f3dca85e001bd7283c37989f8ab4fcc5ffbdfd"/>
    <w:p>
      <w:pPr>
        <w:pStyle w:val="Heading2"/>
      </w:pPr>
      <w:r>
        <w:t xml:space="preserve">Practice Exercise: Interpreting Errors and Power</w:t>
      </w:r>
    </w:p>
    <w:tbl>
      <w:tblPr>
        <w:tblStyle w:val="Table"/>
        <w:tblLook w:firstRow="0" w:lastRow="0" w:firstColumn="0" w:lastColumn="0" w:noHBand="0" w:noVBand="0" w:val="0000"/>
        <w:tblBorders>
          <w:top w:val="single" w:sz="4" w:space="0" w:color="00A047"/>
          <w:left w:val="single" w:sz="24" w:space="0" w:color="00A047"/>
          <w:bottom w:val="single" w:sz="4" w:space="0" w:color="00A047"/>
          <w:right w:val="single" w:sz="4" w:space="0" w:color="00A047"/>
        </w:tblBorders>
        <w:tblCellMar>
          <w:left w:w="144" w:type="dxa"/>
          <w:right w:w="144" w:type="dxa"/>
        </w:tblCellMar>
        <w:tblLook w:firstRow="0" w:lastRow="0" w:firstColumn="0" w:lastColumn="0" w:noHBand="0" w:noVBand="0" w:val="0000"/>
      </w:tblPr>
      <w:tr>
        <w:trPr>
          <w:cantSplit/>
        </w:trPr>
        <w:tc>
          <w:tcPr>
            <w:shd w:color="auto" w:fill="ccf1e3" w:val="clear"/>
            <w:tcMar>
              <w:top w:w="92" w:type="dxa"/>
              <w:bottom w:w="92" w:type="dxa"/>
            </w:tcMar>
          </w:tcPr>
          <w:p>
            <w:pPr>
              <w:pStyle w:val="FirstParagraph"/>
            </w:pPr>
            <w:pPr>
              <w:spacing w:before="0" w:after="0"/>
              <w:textAlignment w:val="center"/>
            </w:pPr>
            <w:r>
              <w:drawing>
                <wp:inline>
                  <wp:extent cx="152400" cy="152400"/>
                  <wp:effectExtent b="0" l="0" r="0" t="0"/>
                  <wp:docPr descr="" title="" id="77" name="Picture"/>
                  <a:graphic>
                    <a:graphicData uri="http://schemas.openxmlformats.org/drawingml/2006/picture">
                      <pic:pic>
                        <pic:nvPicPr>
                          <pic:cNvPr descr="/Applications/Positron.app/Contents/Resources/app/quarto/share/formats/docx/tip.png" id="78" name="Picture"/>
                          <pic:cNvPicPr>
                            <a:picLocks noChangeArrowheads="1" noChangeAspect="1"/>
                          </pic:cNvPicPr>
                        </pic:nvPicPr>
                        <pic:blipFill>
                          <a:blip r:embed="rId76"/>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Tip</w:t>
            </w:r>
          </w:p>
        </w:tc>
      </w:tr>
      <w:tr>
        <w:trPr>
          <w:cantSplit/>
        </w:trPr>
        <w:tc>
          <w:tcPr>
            <w:tcMar>
              <w:top w:w="108" w:type="dxa"/>
              <w:bottom w:w="108" w:type="dxa"/>
            </w:tcMar>
          </w:tcPr>
          <w:p>
            <w:pPr>
              <w:pStyle w:val="BodyText"/>
            </w:pPr>
            <w:pPr>
              <w:spacing w:before="16"/>
            </w:pPr>
            <w:r>
              <w:rPr>
                <w:b/>
                <w:bCs/>
              </w:rPr>
              <w:t xml:space="preserve">Practice Exercise: interpreting p-values and errors</w:t>
            </w:r>
          </w:p>
          <w:p>
            <w:pPr>
              <w:pStyle w:val="BodyText"/>
            </w:pPr>
            <w:r>
              <w:t xml:space="preserve">Given the following scenarios, identify whether a Type I or Type II error might have occurred:</w:t>
            </w:r>
          </w:p>
          <w:p>
            <w:pPr>
              <w:pStyle w:val="Compact"/>
              <w:numPr>
                <w:ilvl w:val="0"/>
                <w:numId w:val="1025"/>
              </w:numPr>
            </w:pPr>
            <w:r>
              <w:t xml:space="preserve">A researcher concludes that island mice size is larger, when in fact it is not.</w:t>
            </w:r>
          </w:p>
          <w:p>
            <w:pPr>
              <w:pStyle w:val="Compact"/>
              <w:numPr>
                <w:ilvl w:val="0"/>
                <w:numId w:val="1025"/>
              </w:numPr>
            </w:pPr>
            <w:r>
              <w:t xml:space="preserve">A study fails to detect a real difference in mouse size on islands when there is one, and concludes there is no effect.</w:t>
            </w:r>
          </w:p>
          <w:p>
            <w:pPr>
              <w:pStyle w:val="Compact"/>
              <w:numPr>
                <w:ilvl w:val="0"/>
                <w:numId w:val="1025"/>
              </w:numPr>
            </w:pPr>
            <w:r>
              <w:t xml:space="preserve">Let’s calculate the power of our t-test to detect a 1g difference in mass between sampling sites:</w:t>
            </w:r>
          </w:p>
          <w:p>
            <w:pPr>
              <w:pStyle w:val="Compact"/>
              <w:numPr>
                <w:ilvl w:val="0"/>
                <w:numId w:val="1026"/>
              </w:numPr>
            </w:pPr>
            <w:r>
              <w:rPr>
                <w:b/>
                <w:bCs/>
              </w:rPr>
              <w:t xml:space="preserve">Pooled standard deviation</w:t>
            </w:r>
            <w:r>
              <w:t xml:space="preserve"> </w:t>
            </w:r>
            <w:r>
              <w:t xml:space="preserve">— the combined standard deviation of both groups, weighted by their respective degrees of freedom</w:t>
            </w:r>
          </w:p>
          <w:p>
            <w:pPr>
              <w:pStyle w:val="Compact"/>
              <w:numPr>
                <w:ilvl w:val="0"/>
                <w:numId w:val="1026"/>
              </w:numPr>
            </w:pPr>
            <w:r>
              <w:rPr>
                <w:b/>
                <w:bCs/>
              </w:rPr>
              <w:t xml:space="preserve">Cohen’s d</w:t>
            </w:r>
            <w:r>
              <w:t xml:space="preserve"> </w:t>
            </w:r>
            <w:r>
              <w:t xml:space="preserve">— the standardized difference between means; here assuming a difference of 1 unit (g)</w:t>
            </w:r>
          </w:p>
          <w:p>
            <w:pPr>
              <w:pStyle w:val="SourceCode"/>
            </w:pPr>
            <w:r>
              <w:rPr>
                <w:rStyle w:val="FunctionTok"/>
              </w:rPr>
              <w:t xml:space="preserve">library</w:t>
            </w:r>
            <w:r>
              <w:rPr>
                <w:rStyle w:val="NormalTok"/>
              </w:rPr>
              <w:t xml:space="preserve">(car)</w:t>
            </w:r>
            <w:r>
              <w:br/>
            </w:r>
            <w:r>
              <w:rPr>
                <w:rStyle w:val="FunctionTok"/>
              </w:rPr>
              <w:t xml:space="preserve">library</w:t>
            </w:r>
            <w:r>
              <w:rPr>
                <w:rStyle w:val="NormalTok"/>
              </w:rPr>
              <w:t xml:space="preserve">(patchwork)</w:t>
            </w:r>
            <w:r>
              <w:br/>
            </w:r>
            <w:r>
              <w:rPr>
                <w:rStyle w:val="FunctionTok"/>
              </w:rPr>
              <w:t xml:space="preserve">library</w:t>
            </w:r>
            <w:r>
              <w:rPr>
                <w:rStyle w:val="NormalTok"/>
              </w:rPr>
              <w:t xml:space="preserve">(tidyverse)</w:t>
            </w:r>
            <w:r>
              <w:br/>
            </w:r>
            <w:r>
              <w:rPr>
                <w:rStyle w:val="FunctionTok"/>
              </w:rPr>
              <w:t xml:space="preserve">library</w:t>
            </w:r>
            <w:r>
              <w:rPr>
                <w:rStyle w:val="NormalTok"/>
              </w:rPr>
              <w:t xml:space="preserve">(readxl)</w:t>
            </w:r>
            <w:r>
              <w:br/>
            </w:r>
            <w:r>
              <w:br/>
            </w:r>
            <w:r>
              <w:rPr>
                <w:rStyle w:val="NormalTok"/>
              </w:rPr>
              <w:t xml:space="preserve">m_df </w:t>
            </w:r>
            <w:r>
              <w:rPr>
                <w:rStyle w:val="OtherTok"/>
              </w:rPr>
              <w:t xml:space="preserve">&lt;-</w:t>
            </w:r>
            <w:r>
              <w:rPr>
                <w:rStyle w:val="NormalTok"/>
              </w:rPr>
              <w:t xml:space="preserve"> </w:t>
            </w:r>
            <w:r>
              <w:rPr>
                <w:rStyle w:val="FunctionTok"/>
              </w:rPr>
              <w:t xml:space="preserve">read_csv</w:t>
            </w:r>
            <w:r>
              <w:rPr>
                <w:rStyle w:val="NormalTok"/>
              </w:rPr>
              <w:t xml:space="preserve">(</w:t>
            </w:r>
            <w:r>
              <w:rPr>
                <w:rStyle w:val="StringTok"/>
              </w:rPr>
              <w:t xml:space="preserve">"data/mice_weights.csv"</w:t>
            </w:r>
            <w:r>
              <w:rPr>
                <w:rStyle w:val="NormalTok"/>
              </w:rPr>
              <w:t xml:space="preserve">) </w:t>
            </w:r>
            <w:r>
              <w:rPr>
                <w:rStyle w:val="SpecialCharTok"/>
              </w:rPr>
              <w:t xml:space="preserve">%&gt;%</w:t>
            </w:r>
            <w:r>
              <w:br/>
            </w:r>
            <w:r>
              <w:rPr>
                <w:rStyle w:val="NormalTok"/>
              </w:rPr>
              <w:t xml:space="preserve">  </w:t>
            </w:r>
            <w:r>
              <w:rPr>
                <w:rStyle w:val="FunctionTok"/>
              </w:rPr>
              <w:t xml:space="preserve">filter</w:t>
            </w:r>
            <w:r>
              <w:rPr>
                <w:rStyle w:val="NormalTok"/>
              </w:rPr>
              <w:t xml:space="preserve">(</w:t>
            </w:r>
            <w:r>
              <w:rPr>
                <w:rStyle w:val="SpecialCharTok"/>
              </w:rPr>
              <w:t xml:space="preserve">!</w:t>
            </w:r>
            <w:r>
              <w:rPr>
                <w:rStyle w:val="FunctionTok"/>
              </w:rPr>
              <w:t xml:space="preserve">is.na</w:t>
            </w:r>
            <w:r>
              <w:rPr>
                <w:rStyle w:val="NormalTok"/>
              </w:rPr>
              <w:t xml:space="preserve">(mass_g))</w:t>
            </w:r>
            <w:r>
              <w:br/>
            </w:r>
            <w:r>
              <w:br/>
            </w:r>
            <w:r>
              <w:rPr>
                <w:rStyle w:val="NormalTok"/>
              </w:rPr>
              <w:t xml:space="preserve">sidney_df    </w:t>
            </w:r>
            <w:r>
              <w:rPr>
                <w:rStyle w:val="OtherTok"/>
              </w:rPr>
              <w:t xml:space="preserve">&lt;-</w:t>
            </w:r>
            <w:r>
              <w:rPr>
                <w:rStyle w:val="NormalTok"/>
              </w:rPr>
              <w:t xml:space="preserve"> m_df </w:t>
            </w:r>
            <w:r>
              <w:rPr>
                <w:rStyle w:val="SpecialCharTok"/>
              </w:rPr>
              <w:t xml:space="preserve">%&gt;%</w:t>
            </w:r>
            <w:r>
              <w:rPr>
                <w:rStyle w:val="NormalTok"/>
              </w:rPr>
              <w:t xml:space="preserve"> </w:t>
            </w:r>
            <w:r>
              <w:rPr>
                <w:rStyle w:val="FunctionTok"/>
              </w:rPr>
              <w:t xml:space="preserve">filter</w:t>
            </w:r>
            <w:r>
              <w:rPr>
                <w:rStyle w:val="NormalTok"/>
              </w:rPr>
              <w:t xml:space="preserve">(sampling_site </w:t>
            </w:r>
            <w:r>
              <w:rPr>
                <w:rStyle w:val="SpecialCharTok"/>
              </w:rPr>
              <w:t xml:space="preserve">==</w:t>
            </w:r>
            <w:r>
              <w:rPr>
                <w:rStyle w:val="NormalTok"/>
              </w:rPr>
              <w:t xml:space="preserve"> </w:t>
            </w:r>
            <w:r>
              <w:rPr>
                <w:rStyle w:val="StringTok"/>
              </w:rPr>
              <w:t xml:space="preserve">"Sidney Island"</w:t>
            </w:r>
            <w:r>
              <w:rPr>
                <w:rStyle w:val="NormalTok"/>
              </w:rPr>
              <w:t xml:space="preserve">)</w:t>
            </w:r>
            <w:r>
              <w:br/>
            </w:r>
            <w:r>
              <w:rPr>
                <w:rStyle w:val="NormalTok"/>
              </w:rPr>
              <w:t xml:space="preserve">vancouver_df </w:t>
            </w:r>
            <w:r>
              <w:rPr>
                <w:rStyle w:val="OtherTok"/>
              </w:rPr>
              <w:t xml:space="preserve">&lt;-</w:t>
            </w:r>
            <w:r>
              <w:rPr>
                <w:rStyle w:val="NormalTok"/>
              </w:rPr>
              <w:t xml:space="preserve"> m_df </w:t>
            </w:r>
            <w:r>
              <w:rPr>
                <w:rStyle w:val="SpecialCharTok"/>
              </w:rPr>
              <w:t xml:space="preserve">%&gt;%</w:t>
            </w:r>
            <w:r>
              <w:rPr>
                <w:rStyle w:val="NormalTok"/>
              </w:rPr>
              <w:t xml:space="preserve"> </w:t>
            </w:r>
            <w:r>
              <w:rPr>
                <w:rStyle w:val="FunctionTok"/>
              </w:rPr>
              <w:t xml:space="preserve">filter</w:t>
            </w:r>
            <w:r>
              <w:rPr>
                <w:rStyle w:val="NormalTok"/>
              </w:rPr>
              <w:t xml:space="preserve">(sampling_site </w:t>
            </w:r>
            <w:r>
              <w:rPr>
                <w:rStyle w:val="SpecialCharTok"/>
              </w:rPr>
              <w:t xml:space="preserve">==</w:t>
            </w:r>
            <w:r>
              <w:rPr>
                <w:rStyle w:val="NormalTok"/>
              </w:rPr>
              <w:t xml:space="preserve"> </w:t>
            </w:r>
            <w:r>
              <w:rPr>
                <w:rStyle w:val="StringTok"/>
              </w:rPr>
              <w:t xml:space="preserve">"Vancouver"</w:t>
            </w:r>
            <w:r>
              <w:rPr>
                <w:rStyle w:val="NormalTok"/>
              </w:rPr>
              <w:t xml:space="preserve">)</w:t>
            </w:r>
            <w:r>
              <w:br/>
            </w:r>
            <w:r>
              <w:br/>
            </w:r>
            <w:r>
              <w:rPr>
                <w:rStyle w:val="NormalTok"/>
              </w:rPr>
              <w:t xml:space="preserve">n1 </w:t>
            </w:r>
            <w:r>
              <w:rPr>
                <w:rStyle w:val="OtherTok"/>
              </w:rPr>
              <w:t xml:space="preserve">&lt;-</w:t>
            </w:r>
            <w:r>
              <w:rPr>
                <w:rStyle w:val="NormalTok"/>
              </w:rPr>
              <w:t xml:space="preserve"> </w:t>
            </w:r>
            <w:r>
              <w:rPr>
                <w:rStyle w:val="FunctionTok"/>
              </w:rPr>
              <w:t xml:space="preserve">nrow</w:t>
            </w:r>
            <w:r>
              <w:rPr>
                <w:rStyle w:val="NormalTok"/>
              </w:rPr>
              <w:t xml:space="preserve">(sidney_df)</w:t>
            </w:r>
            <w:r>
              <w:br/>
            </w:r>
            <w:r>
              <w:rPr>
                <w:rStyle w:val="NormalTok"/>
              </w:rPr>
              <w:t xml:space="preserve">n2 </w:t>
            </w:r>
            <w:r>
              <w:rPr>
                <w:rStyle w:val="OtherTok"/>
              </w:rPr>
              <w:t xml:space="preserve">&lt;-</w:t>
            </w:r>
            <w:r>
              <w:rPr>
                <w:rStyle w:val="NormalTok"/>
              </w:rPr>
              <w:t xml:space="preserve"> </w:t>
            </w:r>
            <w:r>
              <w:rPr>
                <w:rStyle w:val="FunctionTok"/>
              </w:rPr>
              <w:t xml:space="preserve">nrow</w:t>
            </w:r>
            <w:r>
              <w:rPr>
                <w:rStyle w:val="NormalTok"/>
              </w:rPr>
              <w:t xml:space="preserve">(vancouver_df)</w:t>
            </w:r>
            <w:r>
              <w:br/>
            </w:r>
            <w:r>
              <w:rPr>
                <w:rStyle w:val="NormalTok"/>
              </w:rPr>
              <w:t xml:space="preserve">sd_pooled </w:t>
            </w:r>
            <w:r>
              <w:rPr>
                <w:rStyle w:val="OtherTok"/>
              </w:rPr>
              <w:t xml:space="preserve">&lt;-</w:t>
            </w:r>
            <w:r>
              <w:rPr>
                <w:rStyle w:val="NormalTok"/>
              </w:rPr>
              <w:t xml:space="preserve"> </w:t>
            </w:r>
            <w:r>
              <w:rPr>
                <w:rStyle w:val="FunctionTok"/>
              </w:rPr>
              <w:t xml:space="preserve">sqrt</w:t>
            </w:r>
            <w:r>
              <w:rPr>
                <w:rStyle w:val="NormalTok"/>
              </w:rPr>
              <w:t xml:space="preserve">((</w:t>
            </w:r>
            <w:r>
              <w:rPr>
                <w:rStyle w:val="FunctionTok"/>
              </w:rPr>
              <w:t xml:space="preserve">var</w:t>
            </w:r>
            <w:r>
              <w:rPr>
                <w:rStyle w:val="NormalTok"/>
              </w:rPr>
              <w:t xml:space="preserve">(sidney_df</w:t>
            </w:r>
            <w:r>
              <w:rPr>
                <w:rStyle w:val="SpecialCharTok"/>
              </w:rPr>
              <w:t xml:space="preserve">$</w:t>
            </w:r>
            <w:r>
              <w:rPr>
                <w:rStyle w:val="NormalTok"/>
              </w:rPr>
              <w:t xml:space="preserve">mass_g) </w:t>
            </w:r>
            <w:r>
              <w:rPr>
                <w:rStyle w:val="SpecialCharTok"/>
              </w:rPr>
              <w:t xml:space="preserve">*</w:t>
            </w:r>
            <w:r>
              <w:rPr>
                <w:rStyle w:val="NormalTok"/>
              </w:rPr>
              <w:t xml:space="preserve"> (n1</w:t>
            </w:r>
            <w:r>
              <w:rPr>
                <w:rStyle w:val="DecValTok"/>
              </w:rPr>
              <w:t xml:space="preserve">-1</w:t>
            </w:r>
            <w:r>
              <w:rPr>
                <w:rStyle w:val="NormalTok"/>
              </w:rPr>
              <w:t xml:space="preserve">) </w:t>
            </w:r>
            <w:r>
              <w:rPr>
                <w:rStyle w:val="SpecialCharTok"/>
              </w:rPr>
              <w:t xml:space="preserve">+</w:t>
            </w:r>
            <w:r>
              <w:br/>
            </w:r>
            <w:r>
              <w:rPr>
                <w:rStyle w:val="NormalTok"/>
              </w:rPr>
              <w:t xml:space="preserve">                  </w:t>
            </w:r>
            <w:r>
              <w:rPr>
                <w:rStyle w:val="FunctionTok"/>
              </w:rPr>
              <w:t xml:space="preserve">var</w:t>
            </w:r>
            <w:r>
              <w:rPr>
                <w:rStyle w:val="NormalTok"/>
              </w:rPr>
              <w:t xml:space="preserve">(vancouver_df</w:t>
            </w:r>
            <w:r>
              <w:rPr>
                <w:rStyle w:val="SpecialCharTok"/>
              </w:rPr>
              <w:t xml:space="preserve">$</w:t>
            </w:r>
            <w:r>
              <w:rPr>
                <w:rStyle w:val="NormalTok"/>
              </w:rPr>
              <w:t xml:space="preserve">mass_g) </w:t>
            </w:r>
            <w:r>
              <w:rPr>
                <w:rStyle w:val="SpecialCharTok"/>
              </w:rPr>
              <w:t xml:space="preserve">*</w:t>
            </w:r>
            <w:r>
              <w:rPr>
                <w:rStyle w:val="NormalTok"/>
              </w:rPr>
              <w:t xml:space="preserve"> (n2</w:t>
            </w:r>
            <w:r>
              <w:rPr>
                <w:rStyle w:val="DecValTok"/>
              </w:rPr>
              <w:t xml:space="preserve">-1</w:t>
            </w:r>
            <w:r>
              <w:rPr>
                <w:rStyle w:val="NormalTok"/>
              </w:rPr>
              <w:t xml:space="preserve">)) </w:t>
            </w:r>
            <w:r>
              <w:rPr>
                <w:rStyle w:val="SpecialCharTok"/>
              </w:rPr>
              <w:t xml:space="preserve">/</w:t>
            </w:r>
            <w:r>
              <w:br/>
            </w:r>
            <w:r>
              <w:rPr>
                <w:rStyle w:val="NormalTok"/>
              </w:rPr>
              <w:t xml:space="preserve">                  (n1 </w:t>
            </w:r>
            <w:r>
              <w:rPr>
                <w:rStyle w:val="SpecialCharTok"/>
              </w:rPr>
              <w:t xml:space="preserve">+</w:t>
            </w:r>
            <w:r>
              <w:rPr>
                <w:rStyle w:val="NormalTok"/>
              </w:rPr>
              <w:t xml:space="preserve"> n2 </w:t>
            </w:r>
            <w:r>
              <w:rPr>
                <w:rStyle w:val="SpecialCharTok"/>
              </w:rPr>
              <w:t xml:space="preserve">-</w:t>
            </w:r>
            <w:r>
              <w:rPr>
                <w:rStyle w:val="NormalTok"/>
              </w:rPr>
              <w:t xml:space="preserve"> </w:t>
            </w:r>
            <w:r>
              <w:rPr>
                <w:rStyle w:val="DecValTok"/>
              </w:rPr>
              <w:t xml:space="preserve">2</w:t>
            </w:r>
            <w:r>
              <w:rPr>
                <w:rStyle w:val="NormalTok"/>
              </w:rPr>
              <w:t xml:space="preserve">))</w:t>
            </w:r>
            <w:r>
              <w:br/>
            </w:r>
            <w:r>
              <w:br/>
            </w:r>
            <w:r>
              <w:rPr>
                <w:rStyle w:val="CommentTok"/>
              </w:rPr>
              <w:t xml:space="preserve"># delta = 0.423: the standardized effect size (Cohen's d)</w:t>
            </w:r>
            <w:r>
              <w:br/>
            </w:r>
            <w:r>
              <w:rPr>
                <w:rStyle w:val="NormalTok"/>
              </w:rPr>
              <w:t xml:space="preserve">effect_size </w:t>
            </w:r>
            <w:r>
              <w:rPr>
                <w:rStyle w:val="OtherTok"/>
              </w:rPr>
              <w:t xml:space="preserve">&lt;-</w:t>
            </w:r>
            <w:r>
              <w:rPr>
                <w:rStyle w:val="NormalTok"/>
              </w:rPr>
              <w:t xml:space="preserve"> </w:t>
            </w:r>
            <w:r>
              <w:rPr>
                <w:rStyle w:val="DecValTok"/>
              </w:rPr>
              <w:t xml:space="preserve">1</w:t>
            </w:r>
            <w:r>
              <w:rPr>
                <w:rStyle w:val="NormalTok"/>
              </w:rPr>
              <w:t xml:space="preserve"> </w:t>
            </w:r>
            <w:r>
              <w:rPr>
                <w:rStyle w:val="SpecialCharTok"/>
              </w:rPr>
              <w:t xml:space="preserve">/</w:t>
            </w:r>
            <w:r>
              <w:rPr>
                <w:rStyle w:val="NormalTok"/>
              </w:rPr>
              <w:t xml:space="preserve"> sd_pooled  </w:t>
            </w:r>
            <w:r>
              <w:rPr>
                <w:rStyle w:val="CommentTok"/>
              </w:rPr>
              <w:t xml:space="preserve"># Cohen's d</w:t>
            </w:r>
            <w:r>
              <w:br/>
            </w:r>
            <w:r>
              <w:rPr>
                <w:rStyle w:val="NormalTok"/>
              </w:rPr>
              <w:t xml:space="preserve">df </w:t>
            </w:r>
            <w:r>
              <w:rPr>
                <w:rStyle w:val="OtherTok"/>
              </w:rPr>
              <w:t xml:space="preserve">&lt;-</w:t>
            </w:r>
            <w:r>
              <w:rPr>
                <w:rStyle w:val="NormalTok"/>
              </w:rPr>
              <w:t xml:space="preserve"> n1 </w:t>
            </w:r>
            <w:r>
              <w:rPr>
                <w:rStyle w:val="SpecialCharTok"/>
              </w:rPr>
              <w:t xml:space="preserve">+</w:t>
            </w:r>
            <w:r>
              <w:rPr>
                <w:rStyle w:val="NormalTok"/>
              </w:rPr>
              <w:t xml:space="preserve"> n2 </w:t>
            </w:r>
            <w:r>
              <w:rPr>
                <w:rStyle w:val="SpecialCharTok"/>
              </w:rPr>
              <w:t xml:space="preserve">-</w:t>
            </w:r>
            <w:r>
              <w:rPr>
                <w:rStyle w:val="NormalTok"/>
              </w:rPr>
              <w:t xml:space="preserve"> </w:t>
            </w:r>
            <w:r>
              <w:rPr>
                <w:rStyle w:val="DecValTok"/>
              </w:rPr>
              <w:t xml:space="preserve">2</w:t>
            </w:r>
            <w:r>
              <w:br/>
            </w:r>
            <w:r>
              <w:rPr>
                <w:rStyle w:val="NormalTok"/>
              </w:rPr>
              <w:t xml:space="preserve">alpha </w:t>
            </w:r>
            <w:r>
              <w:rPr>
                <w:rStyle w:val="OtherTok"/>
              </w:rPr>
              <w:t xml:space="preserve">&lt;-</w:t>
            </w:r>
            <w:r>
              <w:rPr>
                <w:rStyle w:val="NormalTok"/>
              </w:rPr>
              <w:t xml:space="preserve"> </w:t>
            </w:r>
            <w:r>
              <w:rPr>
                <w:rStyle w:val="FloatTok"/>
              </w:rPr>
              <w:t xml:space="preserve">0.05</w:t>
            </w:r>
            <w:r>
              <w:br/>
            </w:r>
            <w:r>
              <w:rPr>
                <w:rStyle w:val="NormalTok"/>
              </w:rPr>
              <w:t xml:space="preserve">power </w:t>
            </w:r>
            <w:r>
              <w:rPr>
                <w:rStyle w:val="OtherTok"/>
              </w:rPr>
              <w:t xml:space="preserve">&lt;-</w:t>
            </w:r>
            <w:r>
              <w:rPr>
                <w:rStyle w:val="NormalTok"/>
              </w:rPr>
              <w:t xml:space="preserve"> </w:t>
            </w:r>
            <w:r>
              <w:rPr>
                <w:rStyle w:val="FunctionTok"/>
              </w:rPr>
              <w:t xml:space="preserve">power.t.test</w:t>
            </w:r>
            <w:r>
              <w:rPr>
                <w:rStyle w:val="NormalTok"/>
              </w:rPr>
              <w:t xml:space="preserve">(</w:t>
            </w:r>
            <w:r>
              <w:rPr>
                <w:rStyle w:val="AttributeTok"/>
              </w:rPr>
              <w:t xml:space="preserve">n =</w:t>
            </w:r>
            <w:r>
              <w:rPr>
                <w:rStyle w:val="NormalTok"/>
              </w:rPr>
              <w:t xml:space="preserve"> </w:t>
            </w:r>
            <w:r>
              <w:rPr>
                <w:rStyle w:val="FunctionTok"/>
              </w:rPr>
              <w:t xml:space="preserve">min</w:t>
            </w:r>
            <w:r>
              <w:rPr>
                <w:rStyle w:val="NormalTok"/>
              </w:rPr>
              <w:t xml:space="preserve">(n1, n2),</w:t>
            </w:r>
            <w:r>
              <w:br/>
            </w:r>
            <w:r>
              <w:rPr>
                <w:rStyle w:val="NormalTok"/>
              </w:rPr>
              <w:t xml:space="preserve">                     </w:t>
            </w:r>
            <w:r>
              <w:rPr>
                <w:rStyle w:val="AttributeTok"/>
              </w:rPr>
              <w:t xml:space="preserve">delta =</w:t>
            </w:r>
            <w:r>
              <w:rPr>
                <w:rStyle w:val="NormalTok"/>
              </w:rPr>
              <w:t xml:space="preserve"> effect_size,</w:t>
            </w:r>
            <w:r>
              <w:br/>
            </w:r>
            <w:r>
              <w:rPr>
                <w:rStyle w:val="NormalTok"/>
              </w:rPr>
              <w:t xml:space="preserve">                     </w:t>
            </w:r>
            <w:r>
              <w:rPr>
                <w:rStyle w:val="AttributeTok"/>
              </w:rPr>
              <w:t xml:space="preserve">sd =</w:t>
            </w:r>
            <w:r>
              <w:rPr>
                <w:rStyle w:val="NormalTok"/>
              </w:rPr>
              <w:t xml:space="preserve"> </w:t>
            </w:r>
            <w:r>
              <w:rPr>
                <w:rStyle w:val="DecValTok"/>
              </w:rPr>
              <w:t xml:space="preserve">1</w:t>
            </w:r>
            <w:r>
              <w:rPr>
                <w:rStyle w:val="NormalTok"/>
              </w:rPr>
              <w:t xml:space="preserve">,  </w:t>
            </w:r>
            <w:r>
              <w:rPr>
                <w:rStyle w:val="CommentTok"/>
              </w:rPr>
              <w:t xml:space="preserve"># Using standardized effect size</w:t>
            </w:r>
            <w:r>
              <w:br/>
            </w:r>
            <w:r>
              <w:rPr>
                <w:rStyle w:val="NormalTok"/>
              </w:rPr>
              <w:t xml:space="preserve">                     </w:t>
            </w:r>
            <w:r>
              <w:rPr>
                <w:rStyle w:val="AttributeTok"/>
              </w:rPr>
              <w:t xml:space="preserve">sig.level =</w:t>
            </w:r>
            <w:r>
              <w:rPr>
                <w:rStyle w:val="NormalTok"/>
              </w:rPr>
              <w:t xml:space="preserve"> alpha,</w:t>
            </w:r>
            <w:r>
              <w:br/>
            </w:r>
            <w:r>
              <w:rPr>
                <w:rStyle w:val="NormalTok"/>
              </w:rPr>
              <w:t xml:space="preserve">                     </w:t>
            </w:r>
            <w:r>
              <w:rPr>
                <w:rStyle w:val="AttributeTok"/>
              </w:rPr>
              <w:t xml:space="preserve">type =</w:t>
            </w:r>
            <w:r>
              <w:rPr>
                <w:rStyle w:val="NormalTok"/>
              </w:rPr>
              <w:t xml:space="preserve"> </w:t>
            </w:r>
            <w:r>
              <w:rPr>
                <w:rStyle w:val="StringTok"/>
              </w:rPr>
              <w:t xml:space="preserve">"two.sample"</w:t>
            </w:r>
            <w:r>
              <w:rPr>
                <w:rStyle w:val="NormalTok"/>
              </w:rPr>
              <w:t xml:space="preserve">,</w:t>
            </w:r>
            <w:r>
              <w:br/>
            </w:r>
            <w:r>
              <w:rPr>
                <w:rStyle w:val="NormalTok"/>
              </w:rPr>
              <w:t xml:space="preserve">                     </w:t>
            </w:r>
            <w:r>
              <w:rPr>
                <w:rStyle w:val="AttributeTok"/>
              </w:rPr>
              <w:t xml:space="preserve">alternative =</w:t>
            </w:r>
            <w:r>
              <w:rPr>
                <w:rStyle w:val="NormalTok"/>
              </w:rPr>
              <w:t xml:space="preserve"> </w:t>
            </w:r>
            <w:r>
              <w:rPr>
                <w:rStyle w:val="StringTok"/>
              </w:rPr>
              <w:t xml:space="preserve">"two.sided"</w:t>
            </w:r>
            <w:r>
              <w:rPr>
                <w:rStyle w:val="NormalTok"/>
              </w:rPr>
              <w:t xml:space="preserve">)</w:t>
            </w:r>
            <w:r>
              <w:br/>
            </w:r>
            <w:r>
              <w:rPr>
                <w:rStyle w:val="NormalTok"/>
              </w:rPr>
              <w:t xml:space="preserve">power</w:t>
            </w:r>
          </w:p>
          <w:p>
            <w:pPr>
              <w:pStyle w:val="SourceCode"/>
            </w:pPr>
            <w:r>
              <w:br/>
            </w:r>
            <w:r>
              <w:rPr>
                <w:rStyle w:val="VerbatimChar"/>
              </w:rPr>
              <w:t xml:space="preserve">     Two-sample t test power calculation </w:t>
            </w:r>
            <w:r>
              <w:br/>
            </w:r>
            <w:r>
              <w:br/>
            </w:r>
            <w:r>
              <w:rPr>
                <w:rStyle w:val="VerbatimChar"/>
              </w:rPr>
              <w:t xml:space="preserve">              n = 28</w:t>
            </w:r>
            <w:r>
              <w:br/>
            </w:r>
            <w:r>
              <w:rPr>
                <w:rStyle w:val="VerbatimChar"/>
              </w:rPr>
              <w:t xml:space="preserve">          delta = 0.4231154</w:t>
            </w:r>
            <w:r>
              <w:br/>
            </w:r>
            <w:r>
              <w:rPr>
                <w:rStyle w:val="VerbatimChar"/>
              </w:rPr>
              <w:t xml:space="preserve">             sd = 1</w:t>
            </w:r>
            <w:r>
              <w:br/>
            </w:r>
            <w:r>
              <w:rPr>
                <w:rStyle w:val="VerbatimChar"/>
              </w:rPr>
              <w:t xml:space="preserve">      sig.level = 0.05</w:t>
            </w:r>
            <w:r>
              <w:br/>
            </w:r>
            <w:r>
              <w:rPr>
                <w:rStyle w:val="VerbatimChar"/>
              </w:rPr>
              <w:t xml:space="preserve">          power = 0.3427604</w:t>
            </w:r>
            <w:r>
              <w:br/>
            </w:r>
            <w:r>
              <w:rPr>
                <w:rStyle w:val="VerbatimChar"/>
              </w:rPr>
              <w:t xml:space="preserve">    alternative = two.sided</w:t>
            </w:r>
            <w:r>
              <w:br/>
            </w:r>
            <w:r>
              <w:br/>
            </w:r>
            <w:r>
              <w:rPr>
                <w:rStyle w:val="VerbatimChar"/>
              </w:rPr>
              <w:t xml:space="preserve">NOTE: n is number in *each* group</w:t>
            </w:r>
          </w:p>
          <w:p/>
        </w:tc>
      </w:tr>
    </w:tbl>
    <w:bookmarkEnd w:id="79"/>
    <w:bookmarkStart w:id="80" w:name="part-6-statistical-power"/>
    <w:p>
      <w:pPr>
        <w:pStyle w:val="Heading2"/>
      </w:pPr>
      <w:r>
        <w:t xml:space="preserve">Part 6 · Statistical Power</w:t>
      </w:r>
    </w:p>
    <w:bookmarkEnd w:id="80"/>
    <w:bookmarkStart w:id="83" w:name="X8762ddb6e1d8be1a4f0e2f2bfb71a85d56cba20"/>
    <w:p>
      <w:pPr>
        <w:pStyle w:val="Heading2"/>
      </w:pPr>
      <w:r>
        <w:t xml:space="preserve">What if We Calculated Power for the Pine Needles You Measured?</w:t>
      </w:r>
    </w:p>
    <w:p>
      <w:pPr>
        <w:pStyle w:val="SourceCode"/>
      </w:pPr>
      <w:r>
        <w:rPr>
          <w:rStyle w:val="NormalTok"/>
        </w:rPr>
        <w:t xml:space="preserve">pine_switch_df </w:t>
      </w:r>
      <w:r>
        <w:rPr>
          <w:rStyle w:val="OtherTok"/>
        </w:rPr>
        <w:t xml:space="preserve">&lt;-</w:t>
      </w:r>
      <w:r>
        <w:rPr>
          <w:rStyle w:val="NormalTok"/>
        </w:rPr>
        <w:t xml:space="preserve"> </w:t>
      </w:r>
      <w:r>
        <w:rPr>
          <w:rStyle w:val="FunctionTok"/>
        </w:rPr>
        <w:t xml:space="preserve">read_excel</w:t>
      </w:r>
      <w:r>
        <w:rPr>
          <w:rStyle w:val="NormalTok"/>
        </w:rPr>
        <w:t xml:space="preserve">(</w:t>
      </w:r>
      <w:r>
        <w:rPr>
          <w:rStyle w:val="StringTok"/>
        </w:rPr>
        <w:t xml:space="preserve">"data/class_pine needle length switched.xlsx"</w:t>
      </w:r>
      <w:r>
        <w:rPr>
          <w:rStyle w:val="NormalTok"/>
        </w:rPr>
        <w:t xml:space="preserve">)</w:t>
      </w:r>
      <w:r>
        <w:br/>
      </w:r>
      <w:r>
        <w:rPr>
          <w:rStyle w:val="NormalTok"/>
        </w:rPr>
        <w:t xml:space="preserve">ps_df </w:t>
      </w:r>
      <w:r>
        <w:rPr>
          <w:rStyle w:val="OtherTok"/>
        </w:rPr>
        <w:t xml:space="preserve">&lt;-</w:t>
      </w:r>
      <w:r>
        <w:rPr>
          <w:rStyle w:val="NormalTok"/>
        </w:rPr>
        <w:t xml:space="preserve"> pine_switch_df </w:t>
      </w:r>
      <w:r>
        <w:rPr>
          <w:rStyle w:val="SpecialCharTok"/>
        </w:rPr>
        <w:t xml:space="preserve">%&gt;%</w:t>
      </w:r>
      <w:r>
        <w:br/>
      </w:r>
      <w:r>
        <w:rPr>
          <w:rStyle w:val="NormalTok"/>
        </w:rPr>
        <w:t xml:space="preserve">  </w:t>
      </w:r>
      <w:r>
        <w:rPr>
          <w:rStyle w:val="FunctionTok"/>
        </w:rPr>
        <w:t xml:space="preserve">group_by</w:t>
      </w:r>
      <w:r>
        <w:rPr>
          <w:rStyle w:val="NormalTok"/>
        </w:rPr>
        <w:t xml:space="preserve">(group, tree_no, tree_char, side) </w:t>
      </w:r>
      <w:r>
        <w:rPr>
          <w:rStyle w:val="SpecialCharTok"/>
        </w:rPr>
        <w:t xml:space="preserve">%&gt;%</w:t>
      </w:r>
      <w:r>
        <w:br/>
      </w:r>
      <w:r>
        <w:rPr>
          <w:rStyle w:val="NormalTok"/>
        </w:rPr>
        <w:t xml:space="preserve">  </w:t>
      </w:r>
      <w:r>
        <w:rPr>
          <w:rStyle w:val="FunctionTok"/>
        </w:rPr>
        <w:t xml:space="preserve">summarise</w:t>
      </w:r>
      <w:r>
        <w:rPr>
          <w:rStyle w:val="NormalTok"/>
        </w:rPr>
        <w:t xml:space="preserve">(</w:t>
      </w:r>
      <w:r>
        <w:rPr>
          <w:rStyle w:val="AttributeTok"/>
        </w:rPr>
        <w:t xml:space="preserve">length_mm =</w:t>
      </w:r>
      <w:r>
        <w:rPr>
          <w:rStyle w:val="NormalTok"/>
        </w:rPr>
        <w:t xml:space="preserve"> </w:t>
      </w:r>
      <w:r>
        <w:rPr>
          <w:rStyle w:val="FunctionTok"/>
        </w:rPr>
        <w:t xml:space="preserve">mean</w:t>
      </w:r>
      <w:r>
        <w:rPr>
          <w:rStyle w:val="NormalTok"/>
        </w:rPr>
        <w:t xml:space="preserve">(length_mm, </w:t>
      </w:r>
      <w:r>
        <w:rPr>
          <w:rStyle w:val="AttributeTok"/>
        </w:rPr>
        <w:t xml:space="preserve">na.rm=</w:t>
      </w:r>
      <w:r>
        <w:rPr>
          <w:rStyle w:val="ConstantTok"/>
        </w:rPr>
        <w:t xml:space="preserve">TRUE</w:t>
      </w:r>
      <w:r>
        <w:rPr>
          <w:rStyle w:val="NormalTok"/>
        </w:rPr>
        <w:t xml:space="preserve">))</w:t>
      </w:r>
      <w:r>
        <w:br/>
      </w:r>
      <w:r>
        <w:br/>
      </w:r>
      <w:r>
        <w:rPr>
          <w:rStyle w:val="NormalTok"/>
        </w:rPr>
        <w:t xml:space="preserve">ps_shady_df </w:t>
      </w:r>
      <w:r>
        <w:rPr>
          <w:rStyle w:val="OtherTok"/>
        </w:rPr>
        <w:t xml:space="preserve">&lt;-</w:t>
      </w:r>
      <w:r>
        <w:rPr>
          <w:rStyle w:val="NormalTok"/>
        </w:rPr>
        <w:t xml:space="preserve"> ps_df </w:t>
      </w:r>
      <w:r>
        <w:rPr>
          <w:rStyle w:val="SpecialCharTok"/>
        </w:rPr>
        <w:t xml:space="preserve">%&gt;%</w:t>
      </w:r>
      <w:r>
        <w:rPr>
          <w:rStyle w:val="NormalTok"/>
        </w:rPr>
        <w:t xml:space="preserve"> </w:t>
      </w:r>
      <w:r>
        <w:rPr>
          <w:rStyle w:val="FunctionTok"/>
        </w:rPr>
        <w:t xml:space="preserve">filter</w:t>
      </w:r>
      <w:r>
        <w:rPr>
          <w:rStyle w:val="NormalTok"/>
        </w:rPr>
        <w:t xml:space="preserve">(side </w:t>
      </w:r>
      <w:r>
        <w:rPr>
          <w:rStyle w:val="SpecialCharTok"/>
        </w:rPr>
        <w:t xml:space="preserve">==</w:t>
      </w:r>
      <w:r>
        <w:rPr>
          <w:rStyle w:val="NormalTok"/>
        </w:rPr>
        <w:t xml:space="preserve"> </w:t>
      </w:r>
      <w:r>
        <w:rPr>
          <w:rStyle w:val="StringTok"/>
        </w:rPr>
        <w:t xml:space="preserve">"shady"</w:t>
      </w:r>
      <w:r>
        <w:rPr>
          <w:rStyle w:val="NormalTok"/>
        </w:rPr>
        <w:t xml:space="preserve">)</w:t>
      </w:r>
      <w:r>
        <w:br/>
      </w:r>
      <w:r>
        <w:rPr>
          <w:rStyle w:val="NormalTok"/>
        </w:rPr>
        <w:t xml:space="preserve">ps_sunny_df </w:t>
      </w:r>
      <w:r>
        <w:rPr>
          <w:rStyle w:val="OtherTok"/>
        </w:rPr>
        <w:t xml:space="preserve">&lt;-</w:t>
      </w:r>
      <w:r>
        <w:rPr>
          <w:rStyle w:val="NormalTok"/>
        </w:rPr>
        <w:t xml:space="preserve"> ps_df </w:t>
      </w:r>
      <w:r>
        <w:rPr>
          <w:rStyle w:val="SpecialCharTok"/>
        </w:rPr>
        <w:t xml:space="preserve">%&gt;%</w:t>
      </w:r>
      <w:r>
        <w:rPr>
          <w:rStyle w:val="NormalTok"/>
        </w:rPr>
        <w:t xml:space="preserve"> </w:t>
      </w:r>
      <w:r>
        <w:rPr>
          <w:rStyle w:val="FunctionTok"/>
        </w:rPr>
        <w:t xml:space="preserve">filter</w:t>
      </w:r>
      <w:r>
        <w:rPr>
          <w:rStyle w:val="NormalTok"/>
        </w:rPr>
        <w:t xml:space="preserve">(side </w:t>
      </w:r>
      <w:r>
        <w:rPr>
          <w:rStyle w:val="SpecialCharTok"/>
        </w:rPr>
        <w:t xml:space="preserve">==</w:t>
      </w:r>
      <w:r>
        <w:rPr>
          <w:rStyle w:val="NormalTok"/>
        </w:rPr>
        <w:t xml:space="preserve"> </w:t>
      </w:r>
      <w:r>
        <w:rPr>
          <w:rStyle w:val="StringTok"/>
        </w:rPr>
        <w:t xml:space="preserve">"sunny"</w:t>
      </w:r>
      <w:r>
        <w:rPr>
          <w:rStyle w:val="NormalTok"/>
        </w:rPr>
        <w:t xml:space="preserve">)</w:t>
      </w:r>
      <w:r>
        <w:br/>
      </w:r>
      <w:r>
        <w:br/>
      </w:r>
      <w:r>
        <w:rPr>
          <w:rStyle w:val="NormalTok"/>
        </w:rPr>
        <w:t xml:space="preserve">pine_alpha </w:t>
      </w:r>
      <w:r>
        <w:rPr>
          <w:rStyle w:val="OtherTok"/>
        </w:rPr>
        <w:t xml:space="preserve">&lt;-</w:t>
      </w:r>
      <w:r>
        <w:rPr>
          <w:rStyle w:val="NormalTok"/>
        </w:rPr>
        <w:t xml:space="preserve"> </w:t>
      </w:r>
      <w:r>
        <w:rPr>
          <w:rStyle w:val="FloatTok"/>
        </w:rPr>
        <w:t xml:space="preserve">0.05</w:t>
      </w:r>
      <w:r>
        <w:br/>
      </w:r>
      <w:r>
        <w:br/>
      </w:r>
      <w:r>
        <w:rPr>
          <w:rStyle w:val="NormalTok"/>
        </w:rPr>
        <w:t xml:space="preserve">pine_n1 </w:t>
      </w:r>
      <w:r>
        <w:rPr>
          <w:rStyle w:val="OtherTok"/>
        </w:rPr>
        <w:t xml:space="preserve">&lt;-</w:t>
      </w:r>
      <w:r>
        <w:rPr>
          <w:rStyle w:val="NormalTok"/>
        </w:rPr>
        <w:t xml:space="preserve"> </w:t>
      </w:r>
      <w:r>
        <w:rPr>
          <w:rStyle w:val="FunctionTok"/>
        </w:rPr>
        <w:t xml:space="preserve">nrow</w:t>
      </w:r>
      <w:r>
        <w:rPr>
          <w:rStyle w:val="NormalTok"/>
        </w:rPr>
        <w:t xml:space="preserve">(ps_shady_df)</w:t>
      </w:r>
      <w:r>
        <w:br/>
      </w:r>
      <w:r>
        <w:rPr>
          <w:rStyle w:val="NormalTok"/>
        </w:rPr>
        <w:t xml:space="preserve">pine_n2 </w:t>
      </w:r>
      <w:r>
        <w:rPr>
          <w:rStyle w:val="OtherTok"/>
        </w:rPr>
        <w:t xml:space="preserve">&lt;-</w:t>
      </w:r>
      <w:r>
        <w:rPr>
          <w:rStyle w:val="NormalTok"/>
        </w:rPr>
        <w:t xml:space="preserve"> </w:t>
      </w:r>
      <w:r>
        <w:rPr>
          <w:rStyle w:val="FunctionTok"/>
        </w:rPr>
        <w:t xml:space="preserve">nrow</w:t>
      </w:r>
      <w:r>
        <w:rPr>
          <w:rStyle w:val="NormalTok"/>
        </w:rPr>
        <w:t xml:space="preserve">(ps_sunny_df)</w:t>
      </w:r>
      <w:r>
        <w:br/>
      </w:r>
      <w:r>
        <w:br/>
      </w:r>
      <w:r>
        <w:rPr>
          <w:rStyle w:val="NormalTok"/>
        </w:rPr>
        <w:t xml:space="preserve">pine_sd_pooled </w:t>
      </w:r>
      <w:r>
        <w:rPr>
          <w:rStyle w:val="OtherTok"/>
        </w:rPr>
        <w:t xml:space="preserve">&lt;-</w:t>
      </w:r>
      <w:r>
        <w:rPr>
          <w:rStyle w:val="NormalTok"/>
        </w:rPr>
        <w:t xml:space="preserve"> </w:t>
      </w:r>
      <w:r>
        <w:rPr>
          <w:rStyle w:val="FunctionTok"/>
        </w:rPr>
        <w:t xml:space="preserve">sqrt</w:t>
      </w:r>
      <w:r>
        <w:rPr>
          <w:rStyle w:val="NormalTok"/>
        </w:rPr>
        <w:t xml:space="preserve">((</w:t>
      </w:r>
      <w:r>
        <w:rPr>
          <w:rStyle w:val="FunctionTok"/>
        </w:rPr>
        <w:t xml:space="preserve">var</w:t>
      </w:r>
      <w:r>
        <w:rPr>
          <w:rStyle w:val="NormalTok"/>
        </w:rPr>
        <w:t xml:space="preserve">(ps_shady_df</w:t>
      </w:r>
      <w:r>
        <w:rPr>
          <w:rStyle w:val="SpecialCharTok"/>
        </w:rPr>
        <w:t xml:space="preserve">$</w:t>
      </w:r>
      <w:r>
        <w:rPr>
          <w:rStyle w:val="NormalTok"/>
        </w:rPr>
        <w:t xml:space="preserve">length_mm) </w:t>
      </w:r>
      <w:r>
        <w:rPr>
          <w:rStyle w:val="SpecialCharTok"/>
        </w:rPr>
        <w:t xml:space="preserve">*</w:t>
      </w:r>
      <w:r>
        <w:rPr>
          <w:rStyle w:val="NormalTok"/>
        </w:rPr>
        <w:t xml:space="preserve"> (pine_n1</w:t>
      </w:r>
      <w:r>
        <w:rPr>
          <w:rStyle w:val="DecValTok"/>
        </w:rPr>
        <w:t xml:space="preserve">-1</w:t>
      </w:r>
      <w:r>
        <w:rPr>
          <w:rStyle w:val="NormalTok"/>
        </w:rPr>
        <w:t xml:space="preserve">) </w:t>
      </w:r>
      <w:r>
        <w:rPr>
          <w:rStyle w:val="SpecialCharTok"/>
        </w:rPr>
        <w:t xml:space="preserve">+</w:t>
      </w:r>
      <w:r>
        <w:br/>
      </w:r>
      <w:r>
        <w:rPr>
          <w:rStyle w:val="NormalTok"/>
        </w:rPr>
        <w:t xml:space="preserve">                       </w:t>
      </w:r>
      <w:r>
        <w:rPr>
          <w:rStyle w:val="FunctionTok"/>
        </w:rPr>
        <w:t xml:space="preserve">var</w:t>
      </w:r>
      <w:r>
        <w:rPr>
          <w:rStyle w:val="NormalTok"/>
        </w:rPr>
        <w:t xml:space="preserve">(ps_sunny_df</w:t>
      </w:r>
      <w:r>
        <w:rPr>
          <w:rStyle w:val="SpecialCharTok"/>
        </w:rPr>
        <w:t xml:space="preserve">$</w:t>
      </w:r>
      <w:r>
        <w:rPr>
          <w:rStyle w:val="NormalTok"/>
        </w:rPr>
        <w:t xml:space="preserve">length_mm) </w:t>
      </w:r>
      <w:r>
        <w:rPr>
          <w:rStyle w:val="SpecialCharTok"/>
        </w:rPr>
        <w:t xml:space="preserve">*</w:t>
      </w:r>
      <w:r>
        <w:rPr>
          <w:rStyle w:val="NormalTok"/>
        </w:rPr>
        <w:t xml:space="preserve"> (pine_n2</w:t>
      </w:r>
      <w:r>
        <w:rPr>
          <w:rStyle w:val="DecValTok"/>
        </w:rPr>
        <w:t xml:space="preserve">-1</w:t>
      </w:r>
      <w:r>
        <w:rPr>
          <w:rStyle w:val="NormalTok"/>
        </w:rPr>
        <w:t xml:space="preserve">)) </w:t>
      </w:r>
      <w:r>
        <w:rPr>
          <w:rStyle w:val="SpecialCharTok"/>
        </w:rPr>
        <w:t xml:space="preserve">/</w:t>
      </w:r>
      <w:r>
        <w:br/>
      </w:r>
      <w:r>
        <w:rPr>
          <w:rStyle w:val="NormalTok"/>
        </w:rPr>
        <w:t xml:space="preserve">                       (pine_n1 </w:t>
      </w:r>
      <w:r>
        <w:rPr>
          <w:rStyle w:val="SpecialCharTok"/>
        </w:rPr>
        <w:t xml:space="preserve">+</w:t>
      </w:r>
      <w:r>
        <w:rPr>
          <w:rStyle w:val="NormalTok"/>
        </w:rPr>
        <w:t xml:space="preserve"> pine_n2 </w:t>
      </w:r>
      <w:r>
        <w:rPr>
          <w:rStyle w:val="SpecialCharTok"/>
        </w:rPr>
        <w:t xml:space="preserve">-</w:t>
      </w:r>
      <w:r>
        <w:rPr>
          <w:rStyle w:val="NormalTok"/>
        </w:rPr>
        <w:t xml:space="preserve"> </w:t>
      </w:r>
      <w:r>
        <w:rPr>
          <w:rStyle w:val="DecValTok"/>
        </w:rPr>
        <w:t xml:space="preserve">2</w:t>
      </w:r>
      <w:r>
        <w:rPr>
          <w:rStyle w:val="NormalTok"/>
        </w:rPr>
        <w:t xml:space="preserve">))</w:t>
      </w:r>
      <w:r>
        <w:br/>
      </w:r>
      <w:r>
        <w:br/>
      </w:r>
      <w:r>
        <w:rPr>
          <w:rStyle w:val="FunctionTok"/>
        </w:rPr>
        <w:t xml:space="preserve">cat</w:t>
      </w:r>
      <w:r>
        <w:rPr>
          <w:rStyle w:val="NormalTok"/>
        </w:rPr>
        <w:t xml:space="preserve">(</w:t>
      </w:r>
      <w:r>
        <w:rPr>
          <w:rStyle w:val="StringTok"/>
        </w:rPr>
        <w:t xml:space="preserve">"Pooled SD:"</w:t>
      </w:r>
      <w:r>
        <w:rPr>
          <w:rStyle w:val="NormalTok"/>
        </w:rPr>
        <w:t xml:space="preserve">, </w:t>
      </w:r>
      <w:r>
        <w:rPr>
          <w:rStyle w:val="FunctionTok"/>
        </w:rPr>
        <w:t xml:space="preserve">round</w:t>
      </w:r>
      <w:r>
        <w:rPr>
          <w:rStyle w:val="NormalTok"/>
        </w:rPr>
        <w:t xml:space="preserve">(pine_sd_pooled, </w:t>
      </w:r>
      <w:r>
        <w:rPr>
          <w:rStyle w:val="DecValTok"/>
        </w:rPr>
        <w:t xml:space="preserve">2</w:t>
      </w:r>
      <w:r>
        <w:rPr>
          <w:rStyle w:val="NormalTok"/>
        </w:rPr>
        <w:t xml:space="preserve">), </w:t>
      </w:r>
      <w:r>
        <w:rPr>
          <w:rStyle w:val="StringTok"/>
        </w:rPr>
        <w:t xml:space="preserve">"mm</w:t>
      </w:r>
      <w:r>
        <w:rPr>
          <w:rStyle w:val="SpecialCharTok"/>
        </w:rPr>
        <w:t xml:space="preserve">\n\n</w:t>
      </w:r>
      <w:r>
        <w:rPr>
          <w:rStyle w:val="StringTok"/>
        </w:rPr>
        <w:t xml:space="preserve">"</w:t>
      </w:r>
      <w:r>
        <w:rPr>
          <w:rStyle w:val="NormalTok"/>
        </w:rPr>
        <w:t xml:space="preserve">)</w:t>
      </w:r>
    </w:p>
    <w:p>
      <w:pPr>
        <w:pStyle w:val="SourceCode"/>
      </w:pPr>
      <w:r>
        <w:rPr>
          <w:rStyle w:val="VerbatimChar"/>
        </w:rPr>
        <w:t xml:space="preserve">Pooled SD: 2.58 mm</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FirstParagraph"/>
            </w:pPr>
            <w:pPr>
              <w:spacing w:before="0" w:after="0"/>
              <w:textAlignment w:val="center"/>
            </w:pPr>
            <w:r>
              <w:drawing>
                <wp:inline>
                  <wp:extent cx="152400" cy="152400"/>
                  <wp:effectExtent b="0" l="0" r="0" t="0"/>
                  <wp:docPr descr="" title="" id="81" name="Picture"/>
                  <a:graphic>
                    <a:graphicData uri="http://schemas.openxmlformats.org/drawingml/2006/picture">
                      <pic:pic>
                        <pic:nvPicPr>
                          <pic:cNvPr descr="/Applications/Positron.app/Contents/Resources/app/quarto/share/formats/docx/note.png" id="82" name="Picture"/>
                          <pic:cNvPicPr>
                            <a:picLocks noChangeArrowheads="1" noChangeAspect="1"/>
                          </pic:cNvPicPr>
                        </pic:nvPicPr>
                        <pic:blipFill>
                          <a:blip r:embed="rId9"/>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Note</w:t>
            </w:r>
          </w:p>
        </w:tc>
      </w:tr>
      <w:tr>
        <w:trPr>
          <w:cantSplit/>
        </w:trPr>
        <w:tc>
          <w:tcPr>
            <w:tcMar>
              <w:top w:w="108" w:type="dxa"/>
              <w:bottom w:w="108" w:type="dxa"/>
            </w:tcMar>
          </w:tcPr>
          <w:p>
            <w:pPr>
              <w:pStyle w:val="BodyText"/>
            </w:pPr>
            <w:pPr>
              <w:spacing w:before="16"/>
            </w:pPr>
            <w:r>
              <w:rPr>
                <w:b/>
                <w:bCs/>
              </w:rPr>
              <w:t xml:space="preserve">📖 Reference</w:t>
            </w:r>
          </w:p>
          <w:p>
            <w:pPr>
              <w:pStyle w:val="BodyText"/>
            </w:pPr>
            <w:pPr>
              <w:spacing w:after="16"/>
            </w:pPr>
            <w:r>
              <w:t xml:space="preserve">Whitlock &amp; Schluter, Ch. 14 — Designing Experiments, includes planning the sample size needed for a study.</w:t>
            </w:r>
          </w:p>
          <w:p/>
        </w:tc>
      </w:tr>
    </w:tbl>
    <w:p>
      <w:pPr>
        <w:pStyle w:val="SourceCode"/>
      </w:pPr>
      <w:r>
        <w:rPr>
          <w:rStyle w:val="CommentTok"/>
        </w:rPr>
        <w:t xml:space="preserve"># More realistic effect sizes to test:</w:t>
      </w:r>
      <w:r>
        <w:br/>
      </w:r>
      <w:r>
        <w:rPr>
          <w:rStyle w:val="NormalTok"/>
        </w:rPr>
        <w:t xml:space="preserve">observed_diff </w:t>
      </w:r>
      <w:r>
        <w:rPr>
          <w:rStyle w:val="OtherTok"/>
        </w:rPr>
        <w:t xml:space="preserve">&lt;-</w:t>
      </w:r>
      <w:r>
        <w:rPr>
          <w:rStyle w:val="NormalTok"/>
        </w:rPr>
        <w:t xml:space="preserve"> </w:t>
      </w:r>
      <w:r>
        <w:rPr>
          <w:rStyle w:val="FunctionTok"/>
        </w:rPr>
        <w:t xml:space="preserve">abs</w:t>
      </w:r>
      <w:r>
        <w:rPr>
          <w:rStyle w:val="NormalTok"/>
        </w:rPr>
        <w:t xml:space="preserve">(</w:t>
      </w:r>
      <w:r>
        <w:rPr>
          <w:rStyle w:val="FunctionTok"/>
        </w:rPr>
        <w:t xml:space="preserve">mean</w:t>
      </w:r>
      <w:r>
        <w:rPr>
          <w:rStyle w:val="NormalTok"/>
        </w:rPr>
        <w:t xml:space="preserve">(ps_shady_df</w:t>
      </w:r>
      <w:r>
        <w:rPr>
          <w:rStyle w:val="SpecialCharTok"/>
        </w:rPr>
        <w:t xml:space="preserve">$</w:t>
      </w:r>
      <w:r>
        <w:rPr>
          <w:rStyle w:val="NormalTok"/>
        </w:rPr>
        <w:t xml:space="preserve">length_mm) </w:t>
      </w:r>
      <w:r>
        <w:rPr>
          <w:rStyle w:val="SpecialCharTok"/>
        </w:rPr>
        <w:t xml:space="preserve">-</w:t>
      </w:r>
      <w:r>
        <w:rPr>
          <w:rStyle w:val="NormalTok"/>
        </w:rPr>
        <w:t xml:space="preserve"> </w:t>
      </w:r>
      <w:r>
        <w:rPr>
          <w:rStyle w:val="FunctionTok"/>
        </w:rPr>
        <w:t xml:space="preserve">mean</w:t>
      </w:r>
      <w:r>
        <w:rPr>
          <w:rStyle w:val="NormalTok"/>
        </w:rPr>
        <w:t xml:space="preserve">(ps_sunny_df</w:t>
      </w:r>
      <w:r>
        <w:rPr>
          <w:rStyle w:val="SpecialCharTok"/>
        </w:rPr>
        <w:t xml:space="preserve">$</w:t>
      </w:r>
      <w:r>
        <w:rPr>
          <w:rStyle w:val="NormalTok"/>
        </w:rPr>
        <w:t xml:space="preserve">length_mm))</w:t>
      </w:r>
      <w:r>
        <w:br/>
      </w:r>
      <w:r>
        <w:rPr>
          <w:rStyle w:val="NormalTok"/>
        </w:rPr>
        <w:t xml:space="preserve">pine_effect_size_observed </w:t>
      </w:r>
      <w:r>
        <w:rPr>
          <w:rStyle w:val="OtherTok"/>
        </w:rPr>
        <w:t xml:space="preserve">&lt;-</w:t>
      </w:r>
      <w:r>
        <w:rPr>
          <w:rStyle w:val="NormalTok"/>
        </w:rPr>
        <w:t xml:space="preserve"> observed_diff </w:t>
      </w:r>
      <w:r>
        <w:rPr>
          <w:rStyle w:val="SpecialCharTok"/>
        </w:rPr>
        <w:t xml:space="preserve">/</w:t>
      </w:r>
      <w:r>
        <w:rPr>
          <w:rStyle w:val="NormalTok"/>
        </w:rPr>
        <w:t xml:space="preserve"> pine_sd_pooled</w:t>
      </w:r>
      <w:r>
        <w:br/>
      </w:r>
      <w:r>
        <w:rPr>
          <w:rStyle w:val="FunctionTok"/>
        </w:rPr>
        <w:t xml:space="preserve">cat</w:t>
      </w:r>
      <w:r>
        <w:rPr>
          <w:rStyle w:val="NormalTok"/>
        </w:rPr>
        <w:t xml:space="preserve">(</w:t>
      </w:r>
      <w:r>
        <w:rPr>
          <w:rStyle w:val="StringTok"/>
        </w:rPr>
        <w:t xml:space="preserve">"Effect size for observed"</w:t>
      </w:r>
      <w:r>
        <w:rPr>
          <w:rStyle w:val="NormalTok"/>
        </w:rPr>
        <w:t xml:space="preserve">, </w:t>
      </w:r>
      <w:r>
        <w:rPr>
          <w:rStyle w:val="FunctionTok"/>
        </w:rPr>
        <w:t xml:space="preserve">round</w:t>
      </w:r>
      <w:r>
        <w:rPr>
          <w:rStyle w:val="NormalTok"/>
        </w:rPr>
        <w:t xml:space="preserve">(observed_diff, </w:t>
      </w:r>
      <w:r>
        <w:rPr>
          <w:rStyle w:val="DecValTok"/>
        </w:rPr>
        <w:t xml:space="preserve">2</w:t>
      </w:r>
      <w:r>
        <w:rPr>
          <w:rStyle w:val="NormalTok"/>
        </w:rPr>
        <w:t xml:space="preserve">), </w:t>
      </w:r>
      <w:r>
        <w:rPr>
          <w:rStyle w:val="StringTok"/>
        </w:rPr>
        <w:t xml:space="preserve">"mm difference: Cohen's d ="</w:t>
      </w:r>
      <w:r>
        <w:rPr>
          <w:rStyle w:val="NormalTok"/>
        </w:rPr>
        <w:t xml:space="preserve">, </w:t>
      </w:r>
      <w:r>
        <w:rPr>
          <w:rStyle w:val="FunctionTok"/>
        </w:rPr>
        <w:t xml:space="preserve">round</w:t>
      </w:r>
      <w:r>
        <w:rPr>
          <w:rStyle w:val="NormalTok"/>
        </w:rPr>
        <w:t xml:space="preserve">(pine_effect_size_observed, </w:t>
      </w:r>
      <w:r>
        <w:rPr>
          <w:rStyle w:val="DecValTok"/>
        </w:rPr>
        <w:t xml:space="preserve">2</w:t>
      </w:r>
      <w:r>
        <w:rPr>
          <w:rStyle w:val="NormalTok"/>
        </w:rPr>
        <w:t xml:space="preserve">), </w:t>
      </w:r>
      <w:r>
        <w:rPr>
          <w:rStyle w:val="StringTok"/>
        </w:rPr>
        <w:t xml:space="preserve">"</w:t>
      </w:r>
      <w:r>
        <w:rPr>
          <w:rStyle w:val="SpecialCharTok"/>
        </w:rPr>
        <w:t xml:space="preserve">\n</w:t>
      </w:r>
      <w:r>
        <w:rPr>
          <w:rStyle w:val="StringTok"/>
        </w:rPr>
        <w:t xml:space="preserve">"</w:t>
      </w:r>
      <w:r>
        <w:rPr>
          <w:rStyle w:val="NormalTok"/>
        </w:rPr>
        <w:t xml:space="preserve">)</w:t>
      </w:r>
    </w:p>
    <w:p>
      <w:pPr>
        <w:pStyle w:val="SourceCode"/>
      </w:pPr>
      <w:r>
        <w:rPr>
          <w:rStyle w:val="VerbatimChar"/>
        </w:rPr>
        <w:t xml:space="preserve">Effect size for observed 1.45 mm difference: Cohen's d = 0.56 </w:t>
      </w:r>
    </w:p>
    <w:p>
      <w:pPr>
        <w:pStyle w:val="SourceCode"/>
      </w:pPr>
      <w:r>
        <w:rPr>
          <w:rStyle w:val="NormalTok"/>
        </w:rPr>
        <w:t xml:space="preserve">pine_power_observed </w:t>
      </w:r>
      <w:r>
        <w:rPr>
          <w:rStyle w:val="OtherTok"/>
        </w:rPr>
        <w:t xml:space="preserve">&lt;-</w:t>
      </w:r>
      <w:r>
        <w:rPr>
          <w:rStyle w:val="NormalTok"/>
        </w:rPr>
        <w:t xml:space="preserve"> </w:t>
      </w:r>
      <w:r>
        <w:rPr>
          <w:rStyle w:val="FunctionTok"/>
        </w:rPr>
        <w:t xml:space="preserve">power.t.test</w:t>
      </w:r>
      <w:r>
        <w:rPr>
          <w:rStyle w:val="NormalTok"/>
        </w:rPr>
        <w:t xml:space="preserve">(</w:t>
      </w:r>
      <w:r>
        <w:rPr>
          <w:rStyle w:val="AttributeTok"/>
        </w:rPr>
        <w:t xml:space="preserve">n =</w:t>
      </w:r>
      <w:r>
        <w:rPr>
          <w:rStyle w:val="NormalTok"/>
        </w:rPr>
        <w:t xml:space="preserve"> </w:t>
      </w:r>
      <w:r>
        <w:rPr>
          <w:rStyle w:val="FunctionTok"/>
        </w:rPr>
        <w:t xml:space="preserve">min</w:t>
      </w:r>
      <w:r>
        <w:rPr>
          <w:rStyle w:val="NormalTok"/>
        </w:rPr>
        <w:t xml:space="preserve">(pine_n1, pine_n2),</w:t>
      </w:r>
      <w:r>
        <w:br/>
      </w:r>
      <w:r>
        <w:rPr>
          <w:rStyle w:val="NormalTok"/>
        </w:rPr>
        <w:t xml:space="preserve">                                   </w:t>
      </w:r>
      <w:r>
        <w:rPr>
          <w:rStyle w:val="AttributeTok"/>
        </w:rPr>
        <w:t xml:space="preserve">delta =</w:t>
      </w:r>
      <w:r>
        <w:rPr>
          <w:rStyle w:val="NormalTok"/>
        </w:rPr>
        <w:t xml:space="preserve"> pine_effect_size_observed,</w:t>
      </w:r>
      <w:r>
        <w:br/>
      </w:r>
      <w:r>
        <w:rPr>
          <w:rStyle w:val="NormalTok"/>
        </w:rPr>
        <w:t xml:space="preserve">                                   </w:t>
      </w:r>
      <w:r>
        <w:rPr>
          <w:rStyle w:val="AttributeTok"/>
        </w:rPr>
        <w:t xml:space="preserve">sd =</w:t>
      </w:r>
      <w:r>
        <w:rPr>
          <w:rStyle w:val="NormalTok"/>
        </w:rPr>
        <w:t xml:space="preserve"> </w:t>
      </w:r>
      <w:r>
        <w:rPr>
          <w:rStyle w:val="DecValTok"/>
        </w:rPr>
        <w:t xml:space="preserve">1</w:t>
      </w:r>
      <w:r>
        <w:rPr>
          <w:rStyle w:val="NormalTok"/>
        </w:rPr>
        <w:t xml:space="preserve">,</w:t>
      </w:r>
      <w:r>
        <w:br/>
      </w:r>
      <w:r>
        <w:rPr>
          <w:rStyle w:val="NormalTok"/>
        </w:rPr>
        <w:t xml:space="preserve">                                   </w:t>
      </w:r>
      <w:r>
        <w:rPr>
          <w:rStyle w:val="AttributeTok"/>
        </w:rPr>
        <w:t xml:space="preserve">sig.level =</w:t>
      </w:r>
      <w:r>
        <w:rPr>
          <w:rStyle w:val="NormalTok"/>
        </w:rPr>
        <w:t xml:space="preserve"> pine_alpha,</w:t>
      </w:r>
      <w:r>
        <w:br/>
      </w:r>
      <w:r>
        <w:rPr>
          <w:rStyle w:val="NormalTok"/>
        </w:rPr>
        <w:t xml:space="preserve">                                   </w:t>
      </w:r>
      <w:r>
        <w:rPr>
          <w:rStyle w:val="AttributeTok"/>
        </w:rPr>
        <w:t xml:space="preserve">type =</w:t>
      </w:r>
      <w:r>
        <w:rPr>
          <w:rStyle w:val="NormalTok"/>
        </w:rPr>
        <w:t xml:space="preserve"> </w:t>
      </w:r>
      <w:r>
        <w:rPr>
          <w:rStyle w:val="StringTok"/>
        </w:rPr>
        <w:t xml:space="preserve">"two.sample"</w:t>
      </w:r>
      <w:r>
        <w:rPr>
          <w:rStyle w:val="NormalTok"/>
        </w:rPr>
        <w:t xml:space="preserve">,</w:t>
      </w:r>
      <w:r>
        <w:br/>
      </w:r>
      <w:r>
        <w:rPr>
          <w:rStyle w:val="NormalTok"/>
        </w:rPr>
        <w:t xml:space="preserve">                                   </w:t>
      </w:r>
      <w:r>
        <w:rPr>
          <w:rStyle w:val="AttributeTok"/>
        </w:rPr>
        <w:t xml:space="preserve">alternative =</w:t>
      </w:r>
      <w:r>
        <w:rPr>
          <w:rStyle w:val="NormalTok"/>
        </w:rPr>
        <w:t xml:space="preserve"> </w:t>
      </w:r>
      <w:r>
        <w:rPr>
          <w:rStyle w:val="StringTok"/>
        </w:rPr>
        <w:t xml:space="preserve">"two.sided"</w:t>
      </w:r>
      <w:r>
        <w:rPr>
          <w:rStyle w:val="NormalTok"/>
        </w:rPr>
        <w:t xml:space="preserve">)</w:t>
      </w:r>
      <w:r>
        <w:br/>
      </w:r>
      <w:r>
        <w:br/>
      </w:r>
      <w:r>
        <w:rPr>
          <w:rStyle w:val="FunctionTok"/>
        </w:rPr>
        <w:t xml:space="preserve">cat</w:t>
      </w:r>
      <w:r>
        <w:rPr>
          <w:rStyle w:val="NormalTok"/>
        </w:rPr>
        <w:t xml:space="preserve">(</w:t>
      </w:r>
      <w:r>
        <w:rPr>
          <w:rStyle w:val="StringTok"/>
        </w:rPr>
        <w:t xml:space="preserve">"Power for observed"</w:t>
      </w:r>
      <w:r>
        <w:rPr>
          <w:rStyle w:val="NormalTok"/>
        </w:rPr>
        <w:t xml:space="preserve">, </w:t>
      </w:r>
      <w:r>
        <w:rPr>
          <w:rStyle w:val="FunctionTok"/>
        </w:rPr>
        <w:t xml:space="preserve">round</w:t>
      </w:r>
      <w:r>
        <w:rPr>
          <w:rStyle w:val="NormalTok"/>
        </w:rPr>
        <w:t xml:space="preserve">(observed_diff, </w:t>
      </w:r>
      <w:r>
        <w:rPr>
          <w:rStyle w:val="DecValTok"/>
        </w:rPr>
        <w:t xml:space="preserve">2</w:t>
      </w:r>
      <w:r>
        <w:rPr>
          <w:rStyle w:val="NormalTok"/>
        </w:rPr>
        <w:t xml:space="preserve">), </w:t>
      </w:r>
      <w:r>
        <w:rPr>
          <w:rStyle w:val="StringTok"/>
        </w:rPr>
        <w:t xml:space="preserve">"mm difference:"</w:t>
      </w:r>
      <w:r>
        <w:rPr>
          <w:rStyle w:val="NormalTok"/>
        </w:rPr>
        <w:t xml:space="preserve">, </w:t>
      </w:r>
      <w:r>
        <w:rPr>
          <w:rStyle w:val="FunctionTok"/>
        </w:rPr>
        <w:t xml:space="preserve">round</w:t>
      </w:r>
      <w:r>
        <w:rPr>
          <w:rStyle w:val="NormalTok"/>
        </w:rPr>
        <w:t xml:space="preserve">(pine_power_observed</w:t>
      </w:r>
      <w:r>
        <w:rPr>
          <w:rStyle w:val="SpecialCharTok"/>
        </w:rPr>
        <w:t xml:space="preserve">$</w:t>
      </w:r>
      <w:r>
        <w:rPr>
          <w:rStyle w:val="NormalTok"/>
        </w:rPr>
        <w:t xml:space="preserve">power, </w:t>
      </w:r>
      <w:r>
        <w:rPr>
          <w:rStyle w:val="DecValTok"/>
        </w:rPr>
        <w:t xml:space="preserve">3</w:t>
      </w:r>
      <w:r>
        <w:rPr>
          <w:rStyle w:val="NormalTok"/>
        </w:rPr>
        <w:t xml:space="preserve">), </w:t>
      </w:r>
      <w:r>
        <w:rPr>
          <w:rStyle w:val="StringTok"/>
        </w:rPr>
        <w:t xml:space="preserve">"</w:t>
      </w:r>
      <w:r>
        <w:rPr>
          <w:rStyle w:val="SpecialCharTok"/>
        </w:rPr>
        <w:t xml:space="preserve">\n</w:t>
      </w:r>
      <w:r>
        <w:rPr>
          <w:rStyle w:val="StringTok"/>
        </w:rPr>
        <w:t xml:space="preserve">"</w:t>
      </w:r>
      <w:r>
        <w:rPr>
          <w:rStyle w:val="NormalTok"/>
        </w:rPr>
        <w:t xml:space="preserve">)</w:t>
      </w:r>
    </w:p>
    <w:p>
      <w:pPr>
        <w:pStyle w:val="SourceCode"/>
      </w:pPr>
      <w:r>
        <w:rPr>
          <w:rStyle w:val="VerbatimChar"/>
        </w:rPr>
        <w:t xml:space="preserve">Power for observed 1.45 mm difference: 0.182 </w:t>
      </w:r>
    </w:p>
    <w:bookmarkEnd w:id="83"/>
    <w:bookmarkStart w:id="86" w:name="what-is-power"/>
    <w:p>
      <w:pPr>
        <w:pStyle w:val="Heading2"/>
      </w:pPr>
      <w:r>
        <w:t xml:space="preserve">What Is Power?</w:t>
      </w:r>
    </w:p>
    <w:p>
      <w:pPr>
        <w:pStyle w:val="FirstParagraph"/>
      </w:pPr>
      <w:r>
        <w:t xml:space="preserve">Statistical power represents the probability of detecting a true effect (rejecting the null hypothesis when it is false). With a power of 97%, there’s a 97% chance of detecting a true difference of X units between the means of the two groups, if such a difference actually exists.</w:t>
      </w:r>
    </w:p>
    <w:p>
      <w:pPr>
        <w:pStyle w:val="BodyText"/>
      </w:pPr>
      <w:r>
        <w:t xml:space="preserve">A power analysis like this is typically done for one of these purposes:</w:t>
      </w:r>
    </w:p>
    <w:p>
      <w:pPr>
        <w:pStyle w:val="Compact"/>
        <w:numPr>
          <w:ilvl w:val="0"/>
          <w:numId w:val="1027"/>
        </w:numPr>
      </w:pPr>
      <w:r>
        <w:t xml:space="preserve">Before data collection, to determine required sample size</w:t>
      </w:r>
    </w:p>
    <w:p>
      <w:pPr>
        <w:pStyle w:val="Compact"/>
        <w:numPr>
          <w:ilvl w:val="0"/>
          <w:numId w:val="1027"/>
        </w:numPr>
      </w:pPr>
      <w:r>
        <w:t xml:space="preserve">After a study, to evaluate if the sample size was adequate</w:t>
      </w:r>
    </w:p>
    <w:p>
      <w:pPr>
        <w:pStyle w:val="Compact"/>
        <w:numPr>
          <w:ilvl w:val="0"/>
          <w:numId w:val="1027"/>
        </w:numPr>
      </w:pPr>
      <w:r>
        <w:t xml:space="preserve">To determine the minimum detectable effect size with the given sample</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FirstParagraph"/>
            </w:pPr>
            <w:pPr>
              <w:spacing w:before="0" w:after="0"/>
              <w:textAlignment w:val="center"/>
            </w:pPr>
            <w:r>
              <w:drawing>
                <wp:inline>
                  <wp:extent cx="152400" cy="152400"/>
                  <wp:effectExtent b="0" l="0" r="0" t="0"/>
                  <wp:docPr descr="" title="" id="84" name="Picture"/>
                  <a:graphic>
                    <a:graphicData uri="http://schemas.openxmlformats.org/drawingml/2006/picture">
                      <pic:pic>
                        <pic:nvPicPr>
                          <pic:cNvPr descr="/Applications/Positron.app/Contents/Resources/app/quarto/share/formats/docx/note.png" id="85" name="Picture"/>
                          <pic:cNvPicPr>
                            <a:picLocks noChangeArrowheads="1" noChangeAspect="1"/>
                          </pic:cNvPicPr>
                        </pic:nvPicPr>
                        <pic:blipFill>
                          <a:blip r:embed="rId9"/>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Note</w:t>
            </w:r>
          </w:p>
        </w:tc>
      </w:tr>
      <w:tr>
        <w:trPr>
          <w:cantSplit/>
        </w:trPr>
        <w:tc>
          <w:tcPr>
            <w:tcMar>
              <w:top w:w="108" w:type="dxa"/>
              <w:bottom w:w="108" w:type="dxa"/>
            </w:tcMar>
          </w:tcPr>
          <w:p>
            <w:pPr>
              <w:pStyle w:val="BodyText"/>
            </w:pPr>
            <w:pPr>
              <w:spacing w:before="16"/>
            </w:pPr>
            <w:r>
              <w:rPr>
                <w:b/>
                <w:bCs/>
              </w:rPr>
              <w:t xml:space="preserve">✅ Key idea</w:t>
            </w:r>
          </w:p>
          <w:p>
            <w:pPr>
              <w:pStyle w:val="BodyText"/>
            </w:pPr>
            <w:pPr>
              <w:spacing w:after="16"/>
            </w:pPr>
            <w:r>
              <w:t xml:space="preserve">With 97% power, this test has excellent ability to detect the specified effect size. Generally,</w:t>
            </w:r>
            <w:r>
              <w:t xml:space="preserve"> </w:t>
            </w:r>
            <w:r>
              <w:rPr>
                <w:b/>
                <w:bCs/>
              </w:rPr>
              <w:t xml:space="preserve">80% power is considered acceptable</w:t>
            </w:r>
            <w:r>
              <w:t xml:space="preserve"> </w:t>
            </w:r>
            <w:r>
              <w:t xml:space="preserve">— so 97% indicates a very well-powered study for detecting a difference of this size between the groups.</w:t>
            </w:r>
          </w:p>
          <w:p/>
        </w:tc>
      </w:tr>
    </w:tbl>
    <w:bookmarkEnd w:id="86"/>
    <w:bookmarkStart w:id="87" w:name="part-7-error-bars"/>
    <w:p>
      <w:pPr>
        <w:pStyle w:val="Heading2"/>
      </w:pPr>
      <w:r>
        <w:t xml:space="preserve">Part 7 · Error Bars</w:t>
      </w:r>
    </w:p>
    <w:bookmarkEnd w:id="87"/>
    <w:bookmarkStart w:id="91" w:name="error-bars-and-their-interpretation"/>
    <w:p>
      <w:pPr>
        <w:pStyle w:val="Heading2"/>
      </w:pPr>
      <w:r>
        <w:t xml:space="preserve">Error Bars and Their Interpretation</w:t>
      </w:r>
    </w:p>
    <w:p>
      <w:pPr>
        <w:pStyle w:val="FirstParagraph"/>
      </w:pPr>
      <w:r>
        <w:t xml:space="preserve">Error bars are graphical representations of the variability of data that show:</w:t>
      </w:r>
    </w:p>
    <w:p>
      <w:pPr>
        <w:pStyle w:val="Compact"/>
        <w:numPr>
          <w:ilvl w:val="0"/>
          <w:numId w:val="1028"/>
        </w:numPr>
      </w:pPr>
      <w:r>
        <w:t xml:space="preserve">The</w:t>
      </w:r>
      <w:r>
        <w:t xml:space="preserve"> </w:t>
      </w:r>
      <w:r>
        <w:rPr>
          <w:b/>
          <w:bCs/>
        </w:rPr>
        <w:t xml:space="preserve">precision</w:t>
      </w:r>
      <w:r>
        <w:t xml:space="preserve"> </w:t>
      </w:r>
      <w:r>
        <w:t xml:space="preserve">of a measurement</w:t>
      </w:r>
    </w:p>
    <w:p>
      <w:pPr>
        <w:pStyle w:val="Compact"/>
        <w:numPr>
          <w:ilvl w:val="0"/>
          <w:numId w:val="1028"/>
        </w:numPr>
      </w:pPr>
      <w:r>
        <w:t xml:space="preserve">The</w:t>
      </w:r>
      <w:r>
        <w:t xml:space="preserve"> </w:t>
      </w:r>
      <w:r>
        <w:rPr>
          <w:b/>
          <w:bCs/>
        </w:rPr>
        <w:t xml:space="preserve">uncertainty</w:t>
      </w:r>
      <w:r>
        <w:t xml:space="preserve"> </w:t>
      </w:r>
      <w:r>
        <w:t xml:space="preserve">around an estimate</w:t>
      </w:r>
    </w:p>
    <w:p>
      <w:pPr>
        <w:pStyle w:val="Compact"/>
        <w:numPr>
          <w:ilvl w:val="0"/>
          <w:numId w:val="1028"/>
        </w:numPr>
      </w:pPr>
      <w:r>
        <w:t xml:space="preserve">A</w:t>
      </w:r>
      <w:r>
        <w:t xml:space="preserve"> </w:t>
      </w:r>
      <w:r>
        <w:rPr>
          <w:b/>
          <w:bCs/>
        </w:rPr>
        <w:t xml:space="preserve">confidence interval</w:t>
      </w:r>
      <w:r>
        <w:t xml:space="preserve"> </w:t>
      </w:r>
      <w:r>
        <w:t xml:space="preserve">for a parameter</w:t>
      </w:r>
    </w:p>
    <w:p>
      <w:pPr>
        <w:pStyle w:val="FirstParagraph"/>
      </w:pPr>
      <w:r>
        <w:t xml:space="preserve">Common types of error bars:</w:t>
      </w:r>
    </w:p>
    <w:p>
      <w:pPr>
        <w:pStyle w:val="Compact"/>
        <w:numPr>
          <w:ilvl w:val="0"/>
          <w:numId w:val="1029"/>
        </w:numPr>
      </w:pPr>
      <w:r>
        <w:rPr>
          <w:b/>
          <w:bCs/>
        </w:rPr>
        <w:t xml:space="preserve">Standard Error (SE)</w:t>
      </w:r>
      <w:r>
        <w:t xml:space="preserve"> </w:t>
      </w:r>
      <w:r>
        <w:t xml:space="preserve">— shows precision of the mean</w:t>
      </w:r>
    </w:p>
    <w:p>
      <w:pPr>
        <w:pStyle w:val="Compact"/>
        <w:numPr>
          <w:ilvl w:val="0"/>
          <w:numId w:val="1029"/>
        </w:numPr>
      </w:pPr>
      <w:r>
        <w:rPr>
          <w:b/>
          <w:bCs/>
        </w:rPr>
        <w:t xml:space="preserve">Standard Deviation (SD)</w:t>
      </w:r>
      <w:r>
        <w:t xml:space="preserve"> </w:t>
      </w:r>
      <w:r>
        <w:t xml:space="preserve">— shows variability in the data</w:t>
      </w:r>
    </w:p>
    <w:p>
      <w:pPr>
        <w:pStyle w:val="Compact"/>
        <w:numPr>
          <w:ilvl w:val="0"/>
          <w:numId w:val="1029"/>
        </w:numPr>
      </w:pPr>
      <w:r>
        <w:rPr>
          <w:b/>
          <w:bCs/>
        </w:rPr>
        <w:t xml:space="preserve">Confidence Interval (CI)</w:t>
      </w:r>
      <w:r>
        <w:t xml:space="preserve"> </w:t>
      </w:r>
      <w:r>
        <w:t xml:space="preserve">— shows the plausible range for a parameter</w:t>
      </w:r>
    </w:p>
    <w:p>
      <w:pPr>
        <w:pStyle w:val="FirstParagraph"/>
      </w:pPr>
      <w:r>
        <w:t xml:space="preserve">When interpreting graphs:</w:t>
      </w:r>
    </w:p>
    <w:p>
      <w:pPr>
        <w:pStyle w:val="Compact"/>
        <w:numPr>
          <w:ilvl w:val="0"/>
          <w:numId w:val="1030"/>
        </w:numPr>
      </w:pPr>
      <w:r>
        <w:t xml:space="preserve">Always check what the error bars represent</w:t>
      </w:r>
    </w:p>
    <w:p>
      <w:pPr>
        <w:pStyle w:val="Compact"/>
        <w:numPr>
          <w:ilvl w:val="0"/>
          <w:numId w:val="1030"/>
        </w:numPr>
      </w:pPr>
      <w:r>
        <w:t xml:space="preserve">Non-overlapping 95% CI bars suggest statistically significant differences</w:t>
      </w:r>
    </w:p>
    <w:p>
      <w:pPr>
        <w:pStyle w:val="Compact"/>
        <w:numPr>
          <w:ilvl w:val="0"/>
          <w:numId w:val="1030"/>
        </w:numPr>
      </w:pPr>
      <w:r>
        <w:t xml:space="preserve">Error bars help assess both statistical and practical significance</w:t>
      </w:r>
    </w:p>
    <w:p>
      <w:pPr>
        <w:pStyle w:val="FirstParagraph"/>
      </w:pPr>
      <w:r>
        <w:drawing>
          <wp:inline>
            <wp:extent cx="3119357" cy="2935866"/>
            <wp:effectExtent b="0" l="0" r="0" t="0"/>
            <wp:docPr descr="" title="" id="89" name="Picture"/>
            <a:graphic>
              <a:graphicData uri="http://schemas.openxmlformats.org/drawingml/2006/picture">
                <pic:pic>
                  <pic:nvPicPr>
                    <pic:cNvPr descr="power_and_error_lecture_files/figure-docx/unnamed-chunk-6-1.png" id="90" name="Picture"/>
                    <pic:cNvPicPr>
                      <a:picLocks noChangeArrowheads="1" noChangeAspect="1"/>
                    </pic:cNvPicPr>
                  </pic:nvPicPr>
                  <pic:blipFill>
                    <a:blip r:embed="rId88"/>
                    <a:stretch>
                      <a:fillRect/>
                    </a:stretch>
                  </pic:blipFill>
                  <pic:spPr bwMode="auto">
                    <a:xfrm>
                      <a:off x="0" y="0"/>
                      <a:ext cx="3119357" cy="2935866"/>
                    </a:xfrm>
                    <a:prstGeom prst="rect">
                      <a:avLst/>
                    </a:prstGeom>
                    <a:noFill/>
                    <a:ln w="9525">
                      <a:noFill/>
                      <a:headEnd/>
                      <a:tailEnd/>
                    </a:ln>
                  </pic:spPr>
                </pic:pic>
              </a:graphicData>
            </a:graphic>
          </wp:inline>
        </w:drawing>
      </w:r>
    </w:p>
    <w:bookmarkEnd w:id="91"/>
    <w:bookmarkStart w:id="92" w:name="part-8-pseudoreplication"/>
    <w:p>
      <w:pPr>
        <w:pStyle w:val="Heading2"/>
      </w:pPr>
      <w:r>
        <w:t xml:space="preserve">Part 8 · Pseudoreplication</w:t>
      </w:r>
    </w:p>
    <w:bookmarkEnd w:id="92"/>
    <w:bookmarkStart w:id="96" w:name="sampling-and-pseudoreplication"/>
    <w:p>
      <w:pPr>
        <w:pStyle w:val="Heading2"/>
      </w:pPr>
      <w:r>
        <w:t xml:space="preserve">Sampling and Pseudoreplication</w:t>
      </w:r>
    </w:p>
    <w:p>
      <w:pPr>
        <w:pStyle w:val="FirstParagraph"/>
      </w:pPr>
      <w:r>
        <w:rPr>
          <w:b/>
          <w:bCs/>
        </w:rPr>
        <w:t xml:space="preserve">Pseudoreplication</w:t>
      </w:r>
      <w:r>
        <w:t xml:space="preserve"> </w:t>
      </w:r>
      <w:r>
        <w:t xml:space="preserve">occurs when measurements that are not independent are analyzed as if they were independent.</w:t>
      </w:r>
    </w:p>
    <w:p>
      <w:pPr>
        <w:pStyle w:val="Compact"/>
        <w:numPr>
          <w:ilvl w:val="0"/>
          <w:numId w:val="1031"/>
        </w:numPr>
      </w:pPr>
      <w:r>
        <w:t xml:space="preserve">A critical consideration in experimental design</w:t>
      </w:r>
    </w:p>
    <w:p>
      <w:pPr>
        <w:pStyle w:val="Compact"/>
        <w:numPr>
          <w:ilvl w:val="0"/>
          <w:numId w:val="1031"/>
        </w:numPr>
      </w:pPr>
      <w:r>
        <w:t xml:space="preserve">Results in underestimated standard errors and confidence intervals</w:t>
      </w:r>
    </w:p>
    <w:p>
      <w:pPr>
        <w:pStyle w:val="Compact"/>
        <w:numPr>
          <w:ilvl w:val="0"/>
          <w:numId w:val="1031"/>
        </w:numPr>
      </w:pPr>
      <w:r>
        <w:t xml:space="preserve">Leads to inflated Type I error rates (false positives)</w:t>
      </w:r>
    </w:p>
    <w:p>
      <w:pPr>
        <w:pStyle w:val="FirstParagraph"/>
      </w:pPr>
      <w:r>
        <w:rPr>
          <w:b/>
          <w:bCs/>
        </w:rPr>
        <w:t xml:space="preserve">Examples of pseudoreplication:</w:t>
      </w:r>
    </w:p>
    <w:p>
      <w:pPr>
        <w:pStyle w:val="Compact"/>
        <w:numPr>
          <w:ilvl w:val="0"/>
          <w:numId w:val="1032"/>
        </w:numPr>
      </w:pPr>
      <w:r>
        <w:t xml:space="preserve">Measuring the same individual multiple times</w:t>
      </w:r>
    </w:p>
    <w:p>
      <w:pPr>
        <w:pStyle w:val="Compact"/>
        <w:numPr>
          <w:ilvl w:val="0"/>
          <w:numId w:val="1032"/>
        </w:numPr>
      </w:pPr>
      <w:r>
        <w:t xml:space="preserve">Treating multiple fish from the same tank as independent</w:t>
      </w:r>
    </w:p>
    <w:p>
      <w:pPr>
        <w:pStyle w:val="Compact"/>
        <w:numPr>
          <w:ilvl w:val="0"/>
          <w:numId w:val="1032"/>
        </w:numPr>
      </w:pPr>
      <w:r>
        <w:t xml:space="preserve">Using multiple data points from a single site</w:t>
      </w:r>
    </w:p>
    <w:p>
      <w:pPr>
        <w:pStyle w:val="FirstParagraph"/>
      </w:pPr>
      <w:r>
        <w:rPr>
          <w:b/>
          <w:bCs/>
        </w:rPr>
        <w:t xml:space="preserve">How to avoid pseudoreplication:</w:t>
      </w:r>
    </w:p>
    <w:p>
      <w:pPr>
        <w:pStyle w:val="Compact"/>
        <w:numPr>
          <w:ilvl w:val="0"/>
          <w:numId w:val="1033"/>
        </w:numPr>
      </w:pPr>
      <w:r>
        <w:t xml:space="preserve">Identify the true experimental unit</w:t>
      </w:r>
    </w:p>
    <w:p>
      <w:pPr>
        <w:pStyle w:val="Compact"/>
        <w:numPr>
          <w:ilvl w:val="0"/>
          <w:numId w:val="1033"/>
        </w:numPr>
      </w:pPr>
      <w:r>
        <w:t xml:space="preserve">Use appropriate statistical techniques (e.g., mixed models)</w:t>
      </w:r>
    </w:p>
    <w:p>
      <w:pPr>
        <w:pStyle w:val="Compact"/>
        <w:numPr>
          <w:ilvl w:val="0"/>
          <w:numId w:val="1033"/>
        </w:numPr>
      </w:pPr>
      <w:r>
        <w:t xml:space="preserve">Be clear about the level of replication</w:t>
      </w:r>
    </w:p>
    <w:p>
      <w:pPr>
        <w:pStyle w:val="FirstParagraph"/>
      </w:pPr>
      <w:r>
        <w:drawing>
          <wp:inline>
            <wp:extent cx="3669832" cy="2752374"/>
            <wp:effectExtent b="0" l="0" r="0" t="0"/>
            <wp:docPr descr="" title="" id="94" name="Picture"/>
            <a:graphic>
              <a:graphicData uri="http://schemas.openxmlformats.org/drawingml/2006/picture">
                <pic:pic>
                  <pic:nvPicPr>
                    <pic:cNvPr descr="power_and_error_lecture_files/figure-docx/unnamed-chunk-7-1.png" id="95" name="Picture"/>
                    <pic:cNvPicPr>
                      <a:picLocks noChangeArrowheads="1" noChangeAspect="1"/>
                    </pic:cNvPicPr>
                  </pic:nvPicPr>
                  <pic:blipFill>
                    <a:blip r:embed="rId93"/>
                    <a:stretch>
                      <a:fillRect/>
                    </a:stretch>
                  </pic:blipFill>
                  <pic:spPr bwMode="auto">
                    <a:xfrm>
                      <a:off x="0" y="0"/>
                      <a:ext cx="3669832" cy="2752374"/>
                    </a:xfrm>
                    <a:prstGeom prst="rect">
                      <a:avLst/>
                    </a:prstGeom>
                    <a:noFill/>
                    <a:ln w="9525">
                      <a:noFill/>
                      <a:headEnd/>
                      <a:tailEnd/>
                    </a:ln>
                  </pic:spPr>
                </pic:pic>
              </a:graphicData>
            </a:graphic>
          </wp:inline>
        </w:drawing>
      </w:r>
    </w:p>
    <w:bookmarkEnd w:id="96"/>
    <w:bookmarkStart w:id="97" w:name="summary-and-key-takeaways"/>
    <w:p>
      <w:pPr>
        <w:pStyle w:val="Heading2"/>
      </w:pPr>
      <w:r>
        <w:t xml:space="preserve">Summary and Key Takeaways</w:t>
      </w:r>
    </w:p>
    <w:p>
      <w:pPr>
        <w:pStyle w:val="FirstParagraph"/>
      </w:pPr>
      <w:r>
        <w:rPr>
          <w:b/>
          <w:bCs/>
        </w:rPr>
        <w:t xml:space="preserve">Key concepts covered:</w:t>
      </w:r>
    </w:p>
    <w:p>
      <w:pPr>
        <w:pStyle w:val="Compact"/>
        <w:numPr>
          <w:ilvl w:val="0"/>
          <w:numId w:val="1034"/>
        </w:numPr>
      </w:pPr>
      <w:r>
        <w:rPr>
          <w:b/>
          <w:bCs/>
        </w:rPr>
        <w:t xml:space="preserve">P-values</w:t>
      </w:r>
      <w:r>
        <w:t xml:space="preserve"> </w:t>
      </w:r>
      <w:r>
        <w:t xml:space="preserve">measure evidence against the null hypothesis</w:t>
      </w:r>
    </w:p>
    <w:p>
      <w:pPr>
        <w:pStyle w:val="Compact"/>
        <w:numPr>
          <w:ilvl w:val="1"/>
          <w:numId w:val="1035"/>
        </w:numPr>
      </w:pPr>
      <w:r>
        <w:t xml:space="preserve">Not the probability that H₀ is true</w:t>
      </w:r>
    </w:p>
    <w:p>
      <w:pPr>
        <w:pStyle w:val="Compact"/>
        <w:numPr>
          <w:ilvl w:val="1"/>
          <w:numId w:val="1035"/>
        </w:numPr>
      </w:pPr>
      <w:r>
        <w:t xml:space="preserve">Should be interpreted in context with effect size</w:t>
      </w:r>
    </w:p>
    <w:p>
      <w:pPr>
        <w:pStyle w:val="Compact"/>
        <w:numPr>
          <w:ilvl w:val="0"/>
          <w:numId w:val="1034"/>
        </w:numPr>
      </w:pPr>
      <w:r>
        <w:rPr>
          <w:b/>
          <w:bCs/>
        </w:rPr>
        <w:t xml:space="preserve">Hypothesis testing</w:t>
      </w:r>
      <w:r>
        <w:t xml:space="preserve"> </w:t>
      </w:r>
      <w:r>
        <w:t xml:space="preserve">provides a framework for making decisions</w:t>
      </w:r>
    </w:p>
    <w:p>
      <w:pPr>
        <w:pStyle w:val="Compact"/>
        <w:numPr>
          <w:ilvl w:val="1"/>
          <w:numId w:val="1036"/>
        </w:numPr>
      </w:pPr>
      <w:r>
        <w:t xml:space="preserve">Null and alternative hypotheses must be specified beforehand</w:t>
      </w:r>
    </w:p>
    <w:p>
      <w:pPr>
        <w:pStyle w:val="Compact"/>
        <w:numPr>
          <w:ilvl w:val="1"/>
          <w:numId w:val="1036"/>
        </w:numPr>
      </w:pPr>
      <w:r>
        <w:t xml:space="preserve">α level determines the Type I error rate</w:t>
      </w:r>
    </w:p>
    <w:p>
      <w:pPr>
        <w:pStyle w:val="Compact"/>
        <w:numPr>
          <w:ilvl w:val="0"/>
          <w:numId w:val="1037"/>
        </w:numPr>
      </w:pPr>
      <w:r>
        <w:rPr>
          <w:b/>
          <w:bCs/>
        </w:rPr>
        <w:t xml:space="preserve">Type I and Type II errors</w:t>
      </w:r>
      <w:r>
        <w:t xml:space="preserve"> </w:t>
      </w:r>
      <w:r>
        <w:t xml:space="preserve">represent different kinds of mistakes</w:t>
      </w:r>
    </w:p>
    <w:p>
      <w:pPr>
        <w:pStyle w:val="Compact"/>
        <w:numPr>
          <w:ilvl w:val="1"/>
          <w:numId w:val="1038"/>
        </w:numPr>
      </w:pPr>
      <w:r>
        <w:t xml:space="preserve">Type I (α): false positive — rejecting a true H₀</w:t>
      </w:r>
    </w:p>
    <w:p>
      <w:pPr>
        <w:pStyle w:val="Compact"/>
        <w:numPr>
          <w:ilvl w:val="1"/>
          <w:numId w:val="1038"/>
        </w:numPr>
      </w:pPr>
      <w:r>
        <w:t xml:space="preserve">Type II (β): false negative — failing to reject a false H₀</w:t>
      </w:r>
    </w:p>
    <w:p>
      <w:pPr>
        <w:pStyle w:val="Compact"/>
        <w:numPr>
          <w:ilvl w:val="1"/>
          <w:numId w:val="1038"/>
        </w:numPr>
      </w:pPr>
      <w:r>
        <w:t xml:space="preserve">Statistical power = 1 − β</w:t>
      </w:r>
    </w:p>
    <w:p>
      <w:pPr>
        <w:pStyle w:val="Compact"/>
        <w:numPr>
          <w:ilvl w:val="0"/>
          <w:numId w:val="1037"/>
        </w:numPr>
      </w:pPr>
      <w:r>
        <w:rPr>
          <w:b/>
          <w:bCs/>
        </w:rPr>
        <w:t xml:space="preserve">Error bars</w:t>
      </w:r>
      <w:r>
        <w:t xml:space="preserve"> </w:t>
      </w:r>
      <w:r>
        <w:t xml:space="preserve">communicate uncertainty in different ways</w:t>
      </w:r>
    </w:p>
    <w:p>
      <w:pPr>
        <w:pStyle w:val="Compact"/>
        <w:numPr>
          <w:ilvl w:val="1"/>
          <w:numId w:val="1039"/>
        </w:numPr>
      </w:pPr>
      <w:r>
        <w:t xml:space="preserve">Always check what type of error bar is shown</w:t>
      </w:r>
    </w:p>
    <w:p>
      <w:pPr>
        <w:pStyle w:val="Compact"/>
        <w:numPr>
          <w:ilvl w:val="1"/>
          <w:numId w:val="1039"/>
        </w:numPr>
      </w:pPr>
      <w:r>
        <w:t xml:space="preserve">CI bars help assess statistical significance</w:t>
      </w:r>
    </w:p>
    <w:p>
      <w:pPr>
        <w:pStyle w:val="Compact"/>
        <w:numPr>
          <w:ilvl w:val="0"/>
          <w:numId w:val="1037"/>
        </w:numPr>
      </w:pPr>
      <w:r>
        <w:rPr>
          <w:b/>
          <w:bCs/>
        </w:rPr>
        <w:t xml:space="preserve">Pseudoreplication</w:t>
      </w:r>
      <w:r>
        <w:t xml:space="preserve"> </w:t>
      </w:r>
      <w:r>
        <w:t xml:space="preserve">inflates significance</w:t>
      </w:r>
    </w:p>
    <w:p>
      <w:pPr>
        <w:pStyle w:val="Compact"/>
        <w:numPr>
          <w:ilvl w:val="1"/>
          <w:numId w:val="1040"/>
        </w:numPr>
      </w:pPr>
      <w:r>
        <w:t xml:space="preserve">Identify true experimental units</w:t>
      </w:r>
    </w:p>
    <w:p>
      <w:pPr>
        <w:pStyle w:val="Compact"/>
        <w:numPr>
          <w:ilvl w:val="1"/>
          <w:numId w:val="1040"/>
        </w:numPr>
      </w:pPr>
      <w:r>
        <w:t xml:space="preserve">Account for non-independence in analysis</w:t>
      </w:r>
    </w:p>
    <w:bookmarkEnd w:id="9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3">
    <w:nsid w:val="00A99413"/>
    <w:multiLevelType w:val="multilevel"/>
    <w:lvl w:ilvl="0">
      <w:start w:val="3"/>
      <w:numFmt w:val="decimal"/>
      <w:lvlText w:val="%1."/>
      <w:lvlJc w:val="left"/>
      <w:pPr>
        <w:ind w:left="720" w:hanging="360"/>
      </w:pPr>
    </w:lvl>
    <w:lvl w:ilvl="1">
      <w:start w:val="3"/>
      <w:numFmt w:val="decimal"/>
      <w:lvlText w:val="%2."/>
      <w:lvlJc w:val="left"/>
      <w:pPr>
        <w:ind w:left="1440" w:hanging="360"/>
      </w:pPr>
    </w:lvl>
    <w:lvl w:ilvl="2">
      <w:start w:val="3"/>
      <w:numFmt w:val="decimal"/>
      <w:lvlText w:val="%3."/>
      <w:lvlJc w:val="left"/>
      <w:pPr>
        <w:ind w:left="2160" w:hanging="360"/>
      </w:pPr>
    </w:lvl>
    <w:lvl w:ilvl="3">
      <w:start w:val="3"/>
      <w:numFmt w:val="decimal"/>
      <w:lvlText w:val="%4."/>
      <w:lvlJc w:val="left"/>
      <w:pPr>
        <w:ind w:left="2880" w:hanging="360"/>
      </w:pPr>
    </w:lvl>
    <w:lvl w:ilvl="4">
      <w:start w:val="3"/>
      <w:numFmt w:val="decimal"/>
      <w:lvlText w:val="%5."/>
      <w:lvlJc w:val="left"/>
      <w:pPr>
        <w:ind w:left="3600" w:hanging="360"/>
      </w:pPr>
    </w:lvl>
    <w:lvl w:ilvl="5">
      <w:start w:val="3"/>
      <w:numFmt w:val="decimal"/>
      <w:lvlText w:val="%6."/>
      <w:lvlJc w:val="left"/>
      <w:pPr>
        <w:ind w:left="4320" w:hanging="360"/>
      </w:pPr>
    </w:lvl>
    <w:lvl w:ilvl="6">
      <w:start w:val="3"/>
      <w:numFmt w:val="decimal"/>
      <w:lvlText w:val="%7."/>
      <w:lvlJc w:val="left"/>
      <w:pPr>
        <w:ind w:left="5040" w:hanging="360"/>
      </w:pPr>
    </w:lvl>
    <w:lvl w:ilvl="7">
      <w:start w:val="3"/>
      <w:numFmt w:val="decimal"/>
      <w:lvlText w:val="%8."/>
      <w:lvlJc w:val="left"/>
      <w:pPr>
        <w:ind w:left="5760" w:hanging="360"/>
      </w:pPr>
    </w:lvl>
    <w:lvl w:ilvl="8">
      <w:start w:val="3"/>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1"/>
  </w:num>
  <w:num w:numId="1024">
    <w:abstractNumId w:val="991"/>
  </w:num>
  <w:num w:numId="102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6">
    <w:abstractNumId w:val="991"/>
  </w:num>
  <w:num w:numId="102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8">
    <w:abstractNumId w:val="991"/>
  </w:num>
  <w:num w:numId="102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0">
    <w:abstractNumId w:val="991"/>
  </w:num>
  <w:num w:numId="1031">
    <w:abstractNumId w:val="991"/>
  </w:num>
  <w:num w:numId="1032">
    <w:abstractNumId w:val="991"/>
  </w:num>
  <w:num w:numId="1033">
    <w:abstractNumId w:val="991"/>
  </w:num>
  <w:num w:numId="103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5">
    <w:abstractNumId w:val="991"/>
  </w:num>
  <w:num w:numId="1036">
    <w:abstractNumId w:val="991"/>
  </w:num>
  <w:num w:numId="1037">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38">
    <w:abstractNumId w:val="991"/>
  </w:num>
  <w:num w:numId="1039">
    <w:abstractNumId w:val="991"/>
  </w:num>
  <w:num w:numId="104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0"/>
        <w:szCs w:val="20"/>
        <w:lang w:bidi="ar-SA" w:eastAsia="en-US" w:val="en-US"/>
      </w:rPr>
    </w:rPrDefault>
    <w:pPrDefault>
      <w:pPr>
        <w:spacing w:after="1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90" w:before="90"/>
    </w:pPr>
  </w:style>
  <w:style w:customStyle="1" w:styleId="FirstParagraph" w:type="paragraph">
    <w:name w:val="First Paragraph"/>
    <w:basedOn w:val="BodyText"/>
    <w:next w:val="BodyText"/>
    <w:qFormat/>
  </w:style>
  <w:style w:customStyle="1" w:styleId="Compact" w:type="paragraph">
    <w:name w:val="Compact"/>
    <w:basedOn w:val="BodyText"/>
    <w:qFormat/>
    <w:pPr>
      <w:spacing w:after="20" w:before="20"/>
    </w:pPr>
  </w:style>
  <w:style w:styleId="Title" w:type="paragraph">
    <w:name w:val="Title"/>
    <w:basedOn w:val="Normal"/>
    <w:next w:val="BodyText"/>
    <w:link w:val="TitleChar"/>
    <w:uiPriority w:val="10"/>
    <w:qFormat/>
    <w:rsid w:val="00A10FD9"/>
    <w:pPr>
      <w:spacing w:after="60" w:line="240" w:lineRule="auto"/>
      <w:contextualSpacing/>
      <w:jc w:val="center"/>
    </w:pPr>
    <w:rPr>
      <w:rFonts w:asciiTheme="majorHAnsi" w:cstheme="majorBidi" w:eastAsiaTheme="majorEastAsia" w:hAnsiTheme="majorHAnsi"/>
      <w:sz w:val="28"/>
      <w:szCs w:val="28"/>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28"/>
      <w:szCs w:val="28"/>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2"/>
      <w:szCs w:val="22"/>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60" w:before="200"/>
      <w:outlineLvl w:val="0"/>
    </w:pPr>
    <w:rPr>
      <w:rFonts w:asciiTheme="majorHAnsi" w:cstheme="majorBidi" w:eastAsiaTheme="majorEastAsia" w:hAnsiTheme="majorHAnsi"/>
      <w:color w:themeColor="accent1" w:themeShade="BF" w:val="0F4761"/>
      <w:sz w:val="28"/>
      <w:szCs w:val="28"/>
    </w:rPr>
  </w:style>
  <w:style w:styleId="Heading2" w:type="paragraph">
    <w:name w:val="heading 2"/>
    <w:basedOn w:val="Normal"/>
    <w:next w:val="BodyText"/>
    <w:link w:val="Heading2Char"/>
    <w:uiPriority w:val="9"/>
    <w:semiHidden/>
    <w:unhideWhenUsed/>
    <w:qFormat/>
    <w:rsid w:val="00A10FD9"/>
    <w:pPr>
      <w:keepNext/>
      <w:keepLines/>
      <w:spacing w:after="50" w:before="140"/>
      <w:outlineLvl w:val="1"/>
    </w:pPr>
    <w:rPr>
      <w:rFonts w:asciiTheme="majorHAnsi" w:cstheme="majorBidi" w:eastAsiaTheme="majorEastAsia" w:hAnsiTheme="majorHAnsi"/>
      <w:color w:themeColor="accent1" w:themeShade="BF" w:val="0F4761"/>
      <w:sz w:val="26"/>
      <w:szCs w:val="26"/>
    </w:rPr>
  </w:style>
  <w:style w:styleId="Heading3" w:type="paragraph">
    <w:name w:val="heading 3"/>
    <w:basedOn w:val="Normal"/>
    <w:next w:val="BodyText"/>
    <w:link w:val="Heading3Char"/>
    <w:uiPriority w:val="9"/>
    <w:semiHidden/>
    <w:unhideWhenUsed/>
    <w:qFormat/>
    <w:rsid w:val="00A10FD9"/>
    <w:pPr>
      <w:keepNext/>
      <w:keepLines/>
      <w:spacing w:after="40" w:before="120"/>
      <w:outlineLvl w:val="2"/>
    </w:pPr>
    <w:rPr>
      <w:rFonts w:cstheme="majorBidi" w:eastAsiaTheme="majorEastAsia"/>
      <w:color w:themeColor="accent1" w:themeShade="BF" w:val="0F4761"/>
      <w:sz w:val="22"/>
      <w:szCs w:val="22"/>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50" w:before="5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6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18"/>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d73a49"/>
    </w:rPr>
  </w:style>
  <w:style w:type="character" w:customStyle="1" w:styleId="DataTypeTok">
    <w:name w:val="DataTypeTok"/>
    <w:basedOn w:val="VerbatimChar"/>
    <w:rPr>
      <w:color w:val="d73a49"/>
    </w:rPr>
  </w:style>
  <w:style w:type="character" w:customStyle="1" w:styleId="DecValTok">
    <w:name w:val="DecValTok"/>
    <w:basedOn w:val="VerbatimChar"/>
    <w:rPr>
      <w:color w:val="005cc5"/>
    </w:rPr>
  </w:style>
  <w:style w:type="character" w:customStyle="1" w:styleId="BaseNTok">
    <w:name w:val="BaseNTok"/>
    <w:basedOn w:val="VerbatimChar"/>
    <w:rPr>
      <w:color w:val="005cc5"/>
    </w:rPr>
  </w:style>
  <w:style w:type="character" w:customStyle="1" w:styleId="FloatTok">
    <w:name w:val="FloatTok"/>
    <w:basedOn w:val="VerbatimChar"/>
    <w:rPr>
      <w:color w:val="005cc5"/>
    </w:rPr>
  </w:style>
  <w:style w:type="character" w:customStyle="1" w:styleId="ConstantTok">
    <w:name w:val="ConstantTok"/>
    <w:basedOn w:val="VerbatimChar"/>
    <w:rPr>
      <w:color w:val="005cc5"/>
    </w:rPr>
  </w:style>
  <w:style w:type="character" w:customStyle="1" w:styleId="CharTok">
    <w:name w:val="CharTok"/>
    <w:basedOn w:val="VerbatimChar"/>
    <w:rPr>
      <w:color w:val="032f62"/>
    </w:rPr>
  </w:style>
  <w:style w:type="character" w:customStyle="1" w:styleId="SpecialCharTok">
    <w:name w:val="SpecialCharTok"/>
    <w:basedOn w:val="VerbatimChar"/>
    <w:rPr>
      <w:color w:val="005cc5"/>
    </w:rPr>
  </w:style>
  <w:style w:type="character" w:customStyle="1" w:styleId="StringTok">
    <w:name w:val="StringTok"/>
    <w:basedOn w:val="VerbatimChar"/>
    <w:rPr>
      <w:color w:val="032f62"/>
    </w:rPr>
  </w:style>
  <w:style w:type="character" w:customStyle="1" w:styleId="VerbatimStringTok">
    <w:name w:val="VerbatimStringTok"/>
    <w:basedOn w:val="VerbatimChar"/>
    <w:rPr>
      <w:color w:val="032f62"/>
    </w:rPr>
  </w:style>
  <w:style w:type="character" w:customStyle="1" w:styleId="SpecialStringTok">
    <w:name w:val="SpecialStringTok"/>
    <w:basedOn w:val="VerbatimChar"/>
    <w:rPr>
      <w:color w:val="032f62"/>
    </w:rPr>
  </w:style>
  <w:style w:type="character" w:customStyle="1" w:styleId="ImportTok">
    <w:name w:val="ImportTok"/>
    <w:basedOn w:val="VerbatimChar"/>
    <w:rPr>
      <w:color w:val="032f62"/>
    </w:rPr>
  </w:style>
  <w:style w:type="character" w:customStyle="1" w:styleId="CommentTok">
    <w:name w:val="CommentTok"/>
    <w:basedOn w:val="VerbatimChar"/>
    <w:rPr>
      <w:color w:val="6a737d"/>
    </w:rPr>
  </w:style>
  <w:style w:type="character" w:customStyle="1" w:styleId="DocumentationTok">
    <w:name w:val="DocumentationTok"/>
    <w:basedOn w:val="VerbatimChar"/>
    <w:rPr>
      <w:color w:val="6a737d"/>
    </w:rPr>
  </w:style>
  <w:style w:type="character" w:customStyle="1" w:styleId="AnnotationTok">
    <w:name w:val="AnnotationTok"/>
    <w:basedOn w:val="VerbatimChar"/>
    <w:rPr>
      <w:color w:val="6a737d"/>
    </w:rPr>
  </w:style>
  <w:style w:type="character" w:customStyle="1" w:styleId="CommentVarTok">
    <w:name w:val="CommentVarTok"/>
    <w:basedOn w:val="VerbatimChar"/>
    <w:rPr>
      <w:color w:val="6a737d"/>
    </w:rPr>
  </w:style>
  <w:style w:type="character" w:customStyle="1" w:styleId="OtherTok">
    <w:name w:val="OtherTok"/>
    <w:basedOn w:val="VerbatimChar"/>
    <w:rPr>
      <w:color w:val="6f42c1"/>
    </w:rPr>
  </w:style>
  <w:style w:type="character" w:customStyle="1" w:styleId="FunctionTok">
    <w:name w:val="FunctionTok"/>
    <w:basedOn w:val="VerbatimChar"/>
    <w:rPr>
      <w:color w:val="6f42c1"/>
    </w:rPr>
  </w:style>
  <w:style w:type="character" w:customStyle="1" w:styleId="VariableTok">
    <w:name w:val="VariableTok"/>
    <w:basedOn w:val="VerbatimChar"/>
    <w:rPr>
      <w:color w:val="e36209"/>
    </w:rPr>
  </w:style>
  <w:style w:type="character" w:customStyle="1" w:styleId="ControlFlowTok">
    <w:name w:val="ControlFlowTok"/>
    <w:basedOn w:val="VerbatimChar"/>
    <w:rPr>
      <w:color w:val="d73a49"/>
    </w:rPr>
  </w:style>
  <w:style w:type="character" w:customStyle="1" w:styleId="OperatorTok">
    <w:name w:val="OperatorTok"/>
    <w:basedOn w:val="VerbatimChar"/>
    <w:rPr>
      <w:color w:val="24292e"/>
    </w:rPr>
  </w:style>
  <w:style w:type="character" w:customStyle="1" w:styleId="BuiltInTok">
    <w:name w:val="BuiltInTok"/>
    <w:basedOn w:val="VerbatimChar"/>
    <w:rPr>
      <w:color w:val="d73a49"/>
    </w:rPr>
  </w:style>
  <w:style w:type="character" w:customStyle="1" w:styleId="ExtensionTok">
    <w:name w:val="ExtensionTok"/>
    <w:basedOn w:val="VerbatimChar"/>
    <w:rPr>
      <w:b/>
      <w:color w:val="d73a49"/>
    </w:rPr>
  </w:style>
  <w:style w:type="character" w:customStyle="1" w:styleId="PreprocessorTok">
    <w:name w:val="PreprocessorTok"/>
    <w:basedOn w:val="VerbatimChar"/>
    <w:rPr>
      <w:color w:val="d73a49"/>
    </w:rPr>
  </w:style>
  <w:style w:type="character" w:customStyle="1" w:styleId="AttributeTok">
    <w:name w:val="AttributeTok"/>
    <w:basedOn w:val="VerbatimChar"/>
    <w:rPr>
      <w:color w:val="d73a49"/>
    </w:rPr>
  </w:style>
  <w:style w:type="character" w:customStyle="1" w:styleId="RegionMarkerTok">
    <w:name w:val="RegionMarkerTok"/>
    <w:basedOn w:val="VerbatimChar"/>
    <w:rPr>
      <w:color w:val="6a737d"/>
    </w:rPr>
  </w:style>
  <w:style w:type="character" w:customStyle="1" w:styleId="InformationTok">
    <w:name w:val="InformationTok"/>
    <w:basedOn w:val="VerbatimChar"/>
    <w:rPr>
      <w:color w:val="6a737d"/>
    </w:rPr>
  </w:style>
  <w:style w:type="character" w:customStyle="1" w:styleId="WarningTok">
    <w:name w:val="WarningTok"/>
    <w:basedOn w:val="VerbatimChar"/>
    <w:rPr>
      <w:color w:val="ff5555"/>
    </w:rPr>
  </w:style>
  <w:style w:type="character" w:customStyle="1" w:styleId="AlertTok">
    <w:name w:val="AlertTok"/>
    <w:basedOn w:val="VerbatimChar"/>
    <w:rPr>
      <w:b/>
      <w:color w:val="ff5555"/>
    </w:rPr>
  </w:style>
  <w:style w:type="character" w:customStyle="1" w:styleId="ErrorTok">
    <w:name w:val="ErrorTok"/>
    <w:basedOn w:val="VerbatimChar"/>
    <w:rPr>
      <w:color w:val="ff5555"/>
      <w:u/>
    </w:rPr>
  </w:style>
  <w:style w:type="character" w:customStyle="1" w:styleId="NormalTok">
    <w:name w:val="NormalTok"/>
    <w:basedOn w:val="VerbatimChar"/>
    <w:rPr>
      <w:color w:val="24292e"/>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9" Target="media/rId9.png" /><Relationship Type="http://schemas.openxmlformats.org/officeDocument/2006/relationships/image" Id="rId76" Target="media/rId76.png" /><Relationship Type="http://schemas.openxmlformats.org/officeDocument/2006/relationships/image" Id="rId60" Target="media/rId60.png" /><Relationship Type="http://schemas.openxmlformats.org/officeDocument/2006/relationships/image" Id="rId68" Target="media/rId68.png" /><Relationship Type="http://schemas.openxmlformats.org/officeDocument/2006/relationships/image" Id="rId49" Target="media/rId49.png" /><Relationship Type="http://schemas.openxmlformats.org/officeDocument/2006/relationships/image" Id="rId64" Target="media/rId64.png" /><Relationship Type="http://schemas.openxmlformats.org/officeDocument/2006/relationships/image" Id="rId12" Target="media/rId12.png" /><Relationship Type="http://schemas.openxmlformats.org/officeDocument/2006/relationships/image" Id="rId53" Target="media/rId53.png" /><Relationship Type="http://schemas.openxmlformats.org/officeDocument/2006/relationships/image" Id="rId21" Target="media/rId21.png" /><Relationship Type="http://schemas.openxmlformats.org/officeDocument/2006/relationships/image" Id="rId26" Target="media/rId26.jpg" /><Relationship Type="http://schemas.openxmlformats.org/officeDocument/2006/relationships/image" Id="rId44" Target="media/rId44.png" /><Relationship Type="http://schemas.openxmlformats.org/officeDocument/2006/relationships/image" Id="rId72" Target="media/rId72.png" /><Relationship Type="http://schemas.openxmlformats.org/officeDocument/2006/relationships/image" Id="rId88" Target="media/rId88.png" /><Relationship Type="http://schemas.openxmlformats.org/officeDocument/2006/relationships/image" Id="rId93" Target="media/rId93.png"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Lecture: Power and Type I &amp; II Error</dc:title>
  <dc:creator>Bill Perry</dc:creator>
  <dc:description>P-values and the hypothesis-testing framework, Type I/II error, effect size, statistical power, error bars, and pseudoreplication — on the mouse-mass and class pine needle datasets.</dc:description>
  <cp:keywords/>
  <dcterms:created xsi:type="dcterms:W3CDTF">2026-09-03T18:49:48Z</dcterms:created>
  <dcterms:modified xsi:type="dcterms:W3CDTF">2026-09-03T18:49:48Z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s">
    <vt:lpwstr/>
  </property>
  <property fmtid="{D5CDD505-2E9C-101B-9397-08002B2CF9AE}" pid="3" name="biblio-config">
    <vt:lpwstr>True</vt:lpwstr>
  </property>
  <property fmtid="{D5CDD505-2E9C-101B-9397-08002B2CF9AE}" pid="4" name="by-author">
    <vt:lpwstr/>
  </property>
  <property fmtid="{D5CDD505-2E9C-101B-9397-08002B2CF9AE}" pid="5" name="categories">
    <vt:lpwstr/>
  </property>
  <property fmtid="{D5CDD505-2E9C-101B-9397-08002B2CF9AE}" pid="6" name="execute">
    <vt:lpwstr/>
  </property>
  <property fmtid="{D5CDD505-2E9C-101B-9397-08002B2CF9AE}" pid="7" name="format">
    <vt:lpwstr/>
  </property>
  <property fmtid="{D5CDD505-2E9C-101B-9397-08002B2CF9AE}" pid="8" name="header-includes">
    <vt:lpwstr/>
  </property>
  <property fmtid="{D5CDD505-2E9C-101B-9397-08002B2CF9AE}" pid="9" name="include-after">
    <vt:lpwstr/>
  </property>
  <property fmtid="{D5CDD505-2E9C-101B-9397-08002B2CF9AE}" pid="10" name="include-before">
    <vt:lpwstr/>
  </property>
  <property fmtid="{D5CDD505-2E9C-101B-9397-08002B2CF9AE}" pid="11" name="knitr">
    <vt:lpwstr/>
  </property>
  <property fmtid="{D5CDD505-2E9C-101B-9397-08002B2CF9AE}" pid="12" name="labels">
    <vt:lpwstr/>
  </property>
  <property fmtid="{D5CDD505-2E9C-101B-9397-08002B2CF9AE}" pid="13" name="order">
    <vt:lpwstr>8</vt:lpwstr>
  </property>
  <property fmtid="{D5CDD505-2E9C-101B-9397-08002B2CF9AE}" pid="14" name="resources">
    <vt:lpwstr/>
  </property>
  <property fmtid="{D5CDD505-2E9C-101B-9397-08002B2CF9AE}" pid="15" name="subtitle">
    <vt:lpwstr>Errors and power</vt:lpwstr>
  </property>
  <property fmtid="{D5CDD505-2E9C-101B-9397-08002B2CF9AE}" pid="16" name="toc-title">
    <vt:lpwstr>Table of contents</vt:lpwstr>
  </property>
  <property fmtid="{D5CDD505-2E9C-101B-9397-08002B2CF9AE}" pid="17" name="week">
    <vt:lpwstr>5</vt:lpwstr>
  </property>
</Properties>
</file>