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5.png" ContentType="image/png"/>
  <Override PartName="/word/media/rId19.png" ContentType="image/png"/>
  <Override PartName="/word/media/rId33.png" ContentType="image/png"/>
  <Override PartName="/word/media/rId2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Two Sample Mann_Whitney Test</w:t>
      </w:r>
    </w:p>
    <w:p>
      <w:pPr>
        <w:pStyle w:val="Author"/>
      </w:pPr>
      <w:r>
        <w:t xml:space="preserve">Bill Perry</w:t>
      </w:r>
    </w:p>
    <w:bookmarkStart w:id="11" w:name="X6f1001e513876e9a2257934e051b6a36b7118f2"/>
    <w:p>
      <w:pPr>
        <w:pStyle w:val="Heading1"/>
      </w:pPr>
      <w:r>
        <w:t xml:space="preserve">Introduction to Mann-Whitney U Test or (Wilcoxon Rank-Sum Test)</w:t>
      </w:r>
    </w:p>
    <w:bookmarkStart w:id="9" w:name="background-and-theory"/>
    <w:p>
      <w:pPr>
        <w:pStyle w:val="Heading2"/>
      </w:pPr>
      <w:r>
        <w:t xml:space="preserve">Background and Theory</w:t>
      </w:r>
    </w:p>
    <w:p>
      <w:pPr>
        <w:pStyle w:val="FirstParagraph"/>
      </w:pPr>
      <w:r>
        <w:t xml:space="preserve">The Mann-Whitney-Wilcoxon test (also known as the Wilcoxon rank-sum test or Mann-Whitney U test) is a powerful</w:t>
      </w:r>
      <w:r>
        <w:t xml:space="preserve"> </w:t>
      </w:r>
      <w:r>
        <w:rPr>
          <w:b/>
          <w:bCs/>
        </w:rPr>
        <w:t xml:space="preserve">non-parametric alternative to the two-sample t-test.</w:t>
      </w:r>
      <w:r>
        <w:t xml:space="preserve"> </w:t>
      </w:r>
      <w:r>
        <w:t xml:space="preserve">This test is particularly useful when:</w:t>
      </w:r>
    </w:p>
    <w:p>
      <w:pPr>
        <w:pStyle w:val="Compact"/>
        <w:numPr>
          <w:ilvl w:val="0"/>
          <w:numId w:val="1001"/>
        </w:numPr>
      </w:pPr>
      <w:r>
        <w:t xml:space="preserve">The data do not follow a normal distribution</w:t>
      </w:r>
    </w:p>
    <w:p>
      <w:pPr>
        <w:pStyle w:val="Compact"/>
        <w:numPr>
          <w:ilvl w:val="0"/>
          <w:numId w:val="1001"/>
        </w:numPr>
      </w:pPr>
      <w:r>
        <w:t xml:space="preserve">The sample sizes are small</w:t>
      </w:r>
    </w:p>
    <w:p>
      <w:pPr>
        <w:pStyle w:val="Compact"/>
        <w:numPr>
          <w:ilvl w:val="0"/>
          <w:numId w:val="1001"/>
        </w:numPr>
      </w:pPr>
      <w:r>
        <w:t xml:space="preserve">Data are measured on an ordinal scale</w:t>
      </w:r>
    </w:p>
    <w:p>
      <w:pPr>
        <w:pStyle w:val="Compact"/>
        <w:numPr>
          <w:ilvl w:val="0"/>
          <w:numId w:val="1001"/>
        </w:numPr>
      </w:pPr>
      <w:r>
        <w:t xml:space="preserve">Outliers are present</w:t>
      </w:r>
    </w:p>
    <w:p>
      <w:pPr>
        <w:pStyle w:val="FirstParagraph"/>
      </w:pPr>
      <w:r>
        <w:t xml:space="preserve">Unlike the t-test, which compares means, the Mann-Whitney-Wilcoxon test compares the distributions of two independent groups. Specifically, it tests whether one distribution is stochastically greater than the other.</w:t>
      </w:r>
    </w:p>
    <w:p>
      <w:pPr>
        <w:pStyle w:val="BodyText"/>
      </w:pPr>
      <w:r>
        <w:t xml:space="preserve">The null and alternative hypotheses are:</w:t>
      </w:r>
    </w:p>
    <w:p>
      <w:pPr>
        <w:pStyle w:val="BodyText"/>
      </w:pPr>
      <m:oMathPara>
        <m:oMathParaPr>
          <m:jc m:val="center"/>
        </m:oMathParaPr>
        <m:oMath>
          <m:sSub>
            <m:e>
              <m:r>
                <m:t>H</m:t>
              </m:r>
            </m:e>
            <m:sub>
              <m:r>
                <m:t>0</m:t>
              </m:r>
            </m:sub>
          </m:sSub>
          <m:r>
            <m:rPr>
              <m:sty m:val="p"/>
            </m:rPr>
            <m:t>:</m:t>
          </m:r>
          <m:r>
            <m:rPr>
              <m:nor/>
              <m:sty m:val="p"/>
            </m:rPr>
            <m:t>The distributions of both groups are identical</m:t>
          </m:r>
        </m:oMath>
      </m:oMathPara>
    </w:p>
    <w:p>
      <w:pPr>
        <w:pStyle w:val="FirstParagraph"/>
      </w:pPr>
      <m:oMathPara>
        <m:oMathParaPr>
          <m:jc m:val="center"/>
        </m:oMathParaPr>
        <m:oMath>
          <m:sSub>
            <m:e>
              <m:r>
                <m:t>H</m:t>
              </m:r>
            </m:e>
            <m:sub>
              <m:r>
                <m:t>A</m:t>
              </m:r>
            </m:sub>
          </m:sSub>
          <m:r>
            <m:rPr>
              <m:sty m:val="p"/>
            </m:rPr>
            <m:t>:</m:t>
          </m:r>
          <m:r>
            <m:rPr>
              <m:nor/>
              <m:sty m:val="p"/>
            </m:rPr>
            <m:t>The distributions of the two groups differ in location (median)</m:t>
          </m:r>
        </m:oMath>
      </m:oMathPara>
    </w:p>
    <w:bookmarkEnd w:id="9"/>
    <w:bookmarkStart w:id="10" w:name="how-the-mann-whitney-wilcoxon-test-works"/>
    <w:p>
      <w:pPr>
        <w:pStyle w:val="Heading2"/>
      </w:pPr>
      <w:r>
        <w:t xml:space="preserve">How the Mann-Whitney-Wilcoxon Test Works</w:t>
      </w:r>
    </w:p>
    <w:p>
      <w:pPr>
        <w:pStyle w:val="FirstParagraph"/>
      </w:pPr>
      <w:r>
        <w:t xml:space="preserve">The test follows these steps:</w:t>
      </w:r>
    </w:p>
    <w:p>
      <w:pPr>
        <w:pStyle w:val="Compact"/>
        <w:numPr>
          <w:ilvl w:val="0"/>
          <w:numId w:val="1002"/>
        </w:numPr>
      </w:pPr>
      <w:r>
        <w:t xml:space="preserve">Combine all observations from both groups and rank them from lowest to highest.</w:t>
      </w:r>
    </w:p>
    <w:p>
      <w:pPr>
        <w:pStyle w:val="Compact"/>
        <w:numPr>
          <w:ilvl w:val="0"/>
          <w:numId w:val="1002"/>
        </w:numPr>
      </w:pPr>
      <w:r>
        <w:t xml:space="preserve">Calculate the sum of ranks for each group.</w:t>
      </w:r>
    </w:p>
    <w:p>
      <w:pPr>
        <w:pStyle w:val="Compact"/>
        <w:numPr>
          <w:ilvl w:val="0"/>
          <w:numId w:val="1002"/>
        </w:numPr>
      </w:pPr>
      <w:r>
        <w:t xml:space="preserve">Calculate the U statistic, which represents the number of times observations in one group precede observations in the other group.</w:t>
      </w:r>
    </w:p>
    <w:p>
      <w:pPr>
        <w:pStyle w:val="Compact"/>
        <w:numPr>
          <w:ilvl w:val="0"/>
          <w:numId w:val="1002"/>
        </w:numPr>
      </w:pPr>
      <w:r>
        <w:t xml:space="preserve">Compare the calculated U statistic to the critical value from the Mann-Whitney-Wilcoxon distribution, or calculate a p-value for larger samples.</w:t>
      </w:r>
    </w:p>
    <w:p>
      <w:pPr>
        <w:pStyle w:val="FirstParagraph"/>
      </w:pPr>
      <w:r>
        <w:t xml:space="preserve">The U statistic is calculated as:</w:t>
      </w:r>
    </w:p>
    <w:p>
      <w:pPr>
        <w:pStyle w:val="BodyText"/>
      </w:pPr>
      <m:oMathPara>
        <m:oMathParaPr>
          <m:jc m:val="center"/>
        </m:oMathParaPr>
        <m:oMath>
          <m:sSub>
            <m:e>
              <m:r>
                <m:t>U</m:t>
              </m:r>
            </m:e>
            <m:sub>
              <m:r>
                <m:t>1</m:t>
              </m:r>
            </m:sub>
          </m:sSub>
          <m:r>
            <m:rPr>
              <m:sty m:val="p"/>
            </m:rPr>
            <m:t>=</m:t>
          </m:r>
          <m:sSub>
            <m:e>
              <m:r>
                <m:t>R</m:t>
              </m:r>
            </m:e>
            <m:sub>
              <m:r>
                <m:t>1</m:t>
              </m:r>
            </m:sub>
          </m:sSub>
          <m:r>
            <m:rPr>
              <m:sty m:val="p"/>
            </m:rPr>
            <m:t>−</m:t>
          </m:r>
          <m:f>
            <m:fPr>
              <m:type m:val="bar"/>
            </m:fPr>
            <m:num>
              <m:sSub>
                <m:e>
                  <m:r>
                    <m:t>n</m:t>
                  </m:r>
                </m:e>
                <m:sub>
                  <m:r>
                    <m:t>1</m:t>
                  </m:r>
                </m:sub>
              </m:sSub>
              <m:r>
                <m:rPr>
                  <m:sty m:val="p"/>
                </m:rPr>
                <m:t>(</m:t>
              </m:r>
              <m:sSub>
                <m:e>
                  <m:r>
                    <m:t>n</m:t>
                  </m:r>
                </m:e>
                <m:sub>
                  <m:r>
                    <m:t>1</m:t>
                  </m:r>
                </m:sub>
              </m:sSub>
              <m:r>
                <m:rPr>
                  <m:sty m:val="p"/>
                </m:rPr>
                <m:t>+</m:t>
              </m:r>
              <m:r>
                <m:t>1</m:t>
              </m:r>
              <m:r>
                <m:rPr>
                  <m:sty m:val="p"/>
                </m:rPr>
                <m:t>)</m:t>
              </m:r>
            </m:num>
            <m:den>
              <m:r>
                <m:t>2</m:t>
              </m:r>
            </m:den>
          </m:f>
        </m:oMath>
      </m:oMathPara>
    </w:p>
    <w:p>
      <w:pPr>
        <w:pStyle w:val="FirstParagraph"/>
      </w:pPr>
      <w:r>
        <w:t xml:space="preserve">Where:</w:t>
      </w:r>
    </w:p>
    <w:p>
      <w:pPr>
        <w:numPr>
          <w:ilvl w:val="0"/>
          <w:numId w:val="1003"/>
        </w:numPr>
      </w:pPr>
      <m:oMath>
        <m:sSub>
          <m:e>
            <m:r>
              <m:t>R</m:t>
            </m:r>
          </m:e>
          <m:sub>
            <m:r>
              <m:t>1</m:t>
            </m:r>
          </m:sub>
        </m:sSub>
      </m:oMath>
      <w:r>
        <w:t xml:space="preserve"> </w:t>
      </w:r>
      <w:r>
        <w:t xml:space="preserve">is the sum of ranks in group 1</w:t>
      </w:r>
    </w:p>
    <w:p>
      <w:pPr>
        <w:numPr>
          <w:ilvl w:val="0"/>
          <w:numId w:val="1003"/>
        </w:numPr>
      </w:pPr>
      <m:oMath>
        <m:sSub>
          <m:e>
            <m:r>
              <m:t>n</m:t>
            </m:r>
          </m:e>
          <m:sub>
            <m:r>
              <m:t>1</m:t>
            </m:r>
          </m:sub>
        </m:sSub>
      </m:oMath>
      <w:r>
        <w:t xml:space="preserve"> </w:t>
      </w:r>
      <w:r>
        <w:t xml:space="preserve">is the sample size of group 1</w:t>
      </w:r>
    </w:p>
    <w:p>
      <w:pPr>
        <w:pStyle w:val="FirstParagraph"/>
      </w:pPr>
      <w:r>
        <w:t xml:space="preserve">If U is sufficiently small or large compared to what would be expected by chance, we reject the null hypothesis.</w:t>
      </w:r>
    </w:p>
    <w:bookmarkEnd w:id="10"/>
    <w:bookmarkEnd w:id="11"/>
    <w:bookmarkStart w:id="14" w:name="data-analysis"/>
    <w:p>
      <w:pPr>
        <w:pStyle w:val="Heading1"/>
      </w:pPr>
      <w:r>
        <w:t xml:space="preserve">Data Analysis</w:t>
      </w:r>
    </w:p>
    <w:bookmarkStart w:id="12" w:name="loading-libraries-and-data"/>
    <w:p>
      <w:pPr>
        <w:pStyle w:val="Heading2"/>
      </w:pPr>
      <w:r>
        <w:t xml:space="preserve">Loading Libraries and Data</w:t>
      </w:r>
    </w:p>
    <w:p>
      <w:pPr>
        <w:pStyle w:val="SourceCode"/>
      </w:pPr>
      <w:r>
        <w:rPr>
          <w:rStyle w:val="CommentTok"/>
        </w:rPr>
        <w:t xml:space="preserve"># Load required libraries</w:t>
      </w:r>
      <w:r>
        <w:br/>
      </w:r>
      <w:r>
        <w:rPr>
          <w:rStyle w:val="FunctionTok"/>
        </w:rPr>
        <w:t xml:space="preserve">library</w:t>
      </w:r>
      <w:r>
        <w:rPr>
          <w:rStyle w:val="NormalTok"/>
        </w:rPr>
        <w:t xml:space="preserve">(tidyverse)</w:t>
      </w:r>
    </w:p>
    <w:p>
      <w:pPr>
        <w:pStyle w:val="SourceCode"/>
      </w:pPr>
      <w:r>
        <w:rPr>
          <w:rStyle w:val="VerbatimChar"/>
        </w:rPr>
        <w:t xml:space="preserve">── Attaching core tidyverse packages ──────────────────────── tidyverse 2.0.0 ──</w:t>
      </w:r>
      <w:r>
        <w:br/>
      </w:r>
      <w:r>
        <w:rPr>
          <w:rStyle w:val="VerbatimChar"/>
        </w:rPr>
        <w:t xml:space="preserve">✔ dplyr     1.2.1     ✔ readr     2.2.0</w:t>
      </w:r>
      <w:r>
        <w:br/>
      </w:r>
      <w:r>
        <w:rPr>
          <w:rStyle w:val="VerbatimChar"/>
        </w:rPr>
        <w:t xml:space="preserve">✔ forcats   1.0.1     ✔ stringr   1.6.0</w:t>
      </w:r>
      <w:r>
        <w:br/>
      </w:r>
      <w:r>
        <w:rPr>
          <w:rStyle w:val="VerbatimChar"/>
        </w:rPr>
        <w:t xml:space="preserve">✔ ggplot2   4.0.3     ✔ tibble    3.3.1</w:t>
      </w:r>
      <w:r>
        <w:br/>
      </w:r>
      <w:r>
        <w:rPr>
          <w:rStyle w:val="VerbatimChar"/>
        </w:rPr>
        <w:t xml:space="preserve">✔ lubridate 1.9.5     ✔ tidyr     1.3.2</w:t>
      </w:r>
      <w:r>
        <w:br/>
      </w:r>
      <w:r>
        <w:rPr>
          <w:rStyle w:val="VerbatimChar"/>
        </w:rPr>
        <w:t xml:space="preserve">✔ purrr     1.2.2     </w:t>
      </w:r>
      <w:r>
        <w:br/>
      </w:r>
      <w:r>
        <w:rPr>
          <w:rStyle w:val="VerbatimChar"/>
        </w:rPr>
        <w:t xml:space="preserve">── Conflicts ────────────────────────────────────────── tidyverse_conflicts() ──</w:t>
      </w:r>
      <w:r>
        <w:br/>
      </w:r>
      <w:r>
        <w:rPr>
          <w:rStyle w:val="VerbatimChar"/>
        </w:rPr>
        <w:t xml:space="preserve">✖ dplyr::filter() masks stats::filter()</w:t>
      </w:r>
      <w:r>
        <w:br/>
      </w:r>
      <w:r>
        <w:rPr>
          <w:rStyle w:val="VerbatimChar"/>
        </w:rPr>
        <w:t xml:space="preserve">✖ dplyr::lag()    masks stats::lag()</w:t>
      </w:r>
      <w:r>
        <w:br/>
      </w:r>
      <w:r>
        <w:rPr>
          <w:rStyle w:val="VerbatimChar"/>
        </w:rPr>
        <w:t xml:space="preserve">ℹ Use the conflicted package (&lt;http://conflicted.r-lib.org/&gt;) to force all conflicts to become errors</w:t>
      </w:r>
    </w:p>
    <w:p>
      <w:pPr>
        <w:pStyle w:val="SourceCode"/>
      </w:pPr>
      <w:r>
        <w:rPr>
          <w:rStyle w:val="FunctionTok"/>
        </w:rPr>
        <w:t xml:space="preserve">library</w:t>
      </w:r>
      <w:r>
        <w:rPr>
          <w:rStyle w:val="NormalTok"/>
        </w:rPr>
        <w:t xml:space="preserve">(car)  </w:t>
      </w:r>
      <w:r>
        <w:rPr>
          <w:rStyle w:val="CommentTok"/>
        </w:rPr>
        <w:t xml:space="preserve"># For Levene's test</w:t>
      </w:r>
    </w:p>
    <w:p>
      <w:pPr>
        <w:pStyle w:val="SourceCode"/>
      </w:pPr>
      <w:r>
        <w:rPr>
          <w:rStyle w:val="VerbatimChar"/>
        </w:rPr>
        <w:t xml:space="preserve">Loading required package: carData</w:t>
      </w:r>
      <w:r>
        <w:br/>
      </w:r>
      <w:r>
        <w:br/>
      </w:r>
      <w:r>
        <w:rPr>
          <w:rStyle w:val="VerbatimChar"/>
        </w:rPr>
        <w:t xml:space="preserve">Attaching package: 'car'</w:t>
      </w:r>
      <w:r>
        <w:br/>
      </w:r>
      <w:r>
        <w:br/>
      </w:r>
      <w:r>
        <w:rPr>
          <w:rStyle w:val="VerbatimChar"/>
        </w:rPr>
        <w:t xml:space="preserve">The following object is masked from 'package:dplyr':</w:t>
      </w:r>
      <w:r>
        <w:br/>
      </w:r>
      <w:r>
        <w:br/>
      </w:r>
      <w:r>
        <w:rPr>
          <w:rStyle w:val="VerbatimChar"/>
        </w:rPr>
        <w:t xml:space="preserve">    recode</w:t>
      </w:r>
      <w:r>
        <w:br/>
      </w:r>
      <w:r>
        <w:br/>
      </w:r>
      <w:r>
        <w:rPr>
          <w:rStyle w:val="VerbatimChar"/>
        </w:rPr>
        <w:t xml:space="preserve">The following object is masked from 'package:purrr':</w:t>
      </w:r>
      <w:r>
        <w:br/>
      </w:r>
      <w:r>
        <w:br/>
      </w:r>
      <w:r>
        <w:rPr>
          <w:rStyle w:val="VerbatimChar"/>
        </w:rPr>
        <w:t xml:space="preserve">    some</w:t>
      </w:r>
    </w:p>
    <w:p>
      <w:pPr>
        <w:pStyle w:val="SourceCode"/>
      </w:pPr>
      <w:r>
        <w:rPr>
          <w:rStyle w:val="CommentTok"/>
        </w:rPr>
        <w:t xml:space="preserve"># library(ggpubr)  # For adding p-values to plots</w:t>
      </w:r>
      <w:r>
        <w:br/>
      </w:r>
      <w:r>
        <w:rPr>
          <w:rStyle w:val="FunctionTok"/>
        </w:rPr>
        <w:t xml:space="preserve">library</w:t>
      </w:r>
      <w:r>
        <w:rPr>
          <w:rStyle w:val="NormalTok"/>
        </w:rPr>
        <w:t xml:space="preserve">(coin)  </w:t>
      </w:r>
      <w:r>
        <w:rPr>
          <w:rStyle w:val="CommentTok"/>
        </w:rPr>
        <w:t xml:space="preserve"># For permutation tests</w:t>
      </w:r>
    </w:p>
    <w:p>
      <w:pPr>
        <w:pStyle w:val="SourceCode"/>
      </w:pPr>
      <w:r>
        <w:rPr>
          <w:rStyle w:val="VerbatimChar"/>
        </w:rPr>
        <w:t xml:space="preserve">Loading required package: survival</w:t>
      </w:r>
    </w:p>
    <w:p>
      <w:pPr>
        <w:pStyle w:val="SourceCode"/>
      </w:pPr>
      <w:r>
        <w:rPr>
          <w:rStyle w:val="FunctionTok"/>
        </w:rPr>
        <w:t xml:space="preserve">library</w:t>
      </w:r>
      <w:r>
        <w:rPr>
          <w:rStyle w:val="NormalTok"/>
        </w:rPr>
        <w:t xml:space="preserve">(skimr)</w:t>
      </w:r>
      <w:r>
        <w:br/>
      </w:r>
      <w:r>
        <w:rPr>
          <w:rStyle w:val="FunctionTok"/>
        </w:rPr>
        <w:t xml:space="preserve">library</w:t>
      </w:r>
      <w:r>
        <w:rPr>
          <w:rStyle w:val="NormalTok"/>
        </w:rPr>
        <w:t xml:space="preserve">(rcompanion)  </w:t>
      </w:r>
      <w:r>
        <w:rPr>
          <w:rStyle w:val="CommentTok"/>
        </w:rPr>
        <w:t xml:space="preserve"># For plotNormalHistogram</w:t>
      </w:r>
    </w:p>
    <w:p>
      <w:pPr>
        <w:pStyle w:val="SourceCode"/>
      </w:pPr>
      <w:r>
        <w:rPr>
          <w:rStyle w:val="CommentTok"/>
        </w:rPr>
        <w:t xml:space="preserve"># Load the data</w:t>
      </w:r>
      <w:r>
        <w:br/>
      </w:r>
      <w:r>
        <w:rPr>
          <w:rStyle w:val="NormalTok"/>
        </w:rPr>
        <w:t xml:space="preserve">sculpin_df </w:t>
      </w:r>
      <w:r>
        <w:rPr>
          <w:rStyle w:val="OtherTok"/>
        </w:rPr>
        <w:t xml:space="preserve">&lt;-</w:t>
      </w:r>
      <w:r>
        <w:rPr>
          <w:rStyle w:val="NormalTok"/>
        </w:rPr>
        <w:t xml:space="preserve"> </w:t>
      </w:r>
      <w:r>
        <w:rPr>
          <w:rStyle w:val="FunctionTok"/>
        </w:rPr>
        <w:t xml:space="preserve">read_csv</w:t>
      </w:r>
      <w:r>
        <w:rPr>
          <w:rStyle w:val="NormalTok"/>
        </w:rPr>
        <w:t xml:space="preserve">(</w:t>
      </w:r>
      <w:r>
        <w:rPr>
          <w:rStyle w:val="StringTok"/>
        </w:rPr>
        <w:t xml:space="preserve">"data/t_test_sculpin_s07_ne14.csv"</w:t>
      </w:r>
      <w:r>
        <w:rPr>
          <w:rStyle w:val="NormalTok"/>
        </w:rPr>
        <w:t xml:space="preserve">)</w:t>
      </w:r>
    </w:p>
    <w:p>
      <w:pPr>
        <w:pStyle w:val="SourceCode"/>
      </w:pPr>
      <w:r>
        <w:rPr>
          <w:rStyle w:val="VerbatimChar"/>
        </w:rPr>
        <w:t xml:space="preserve">Rows: 110 Columns: 5</w:t>
      </w:r>
      <w:r>
        <w:br/>
      </w:r>
      <w:r>
        <w:rPr>
          <w:rStyle w:val="VerbatimChar"/>
        </w:rPr>
        <w:t xml:space="preserve">── Column specification ────────────────────────────────────────────────────────</w:t>
      </w:r>
      <w:r>
        <w:br/>
      </w:r>
      <w:r>
        <w:rPr>
          <w:rStyle w:val="VerbatimChar"/>
        </w:rPr>
        <w:t xml:space="preserve">Delimiter: ","</w:t>
      </w:r>
      <w:r>
        <w:br/>
      </w:r>
      <w:r>
        <w:rPr>
          <w:rStyle w:val="VerbatimChar"/>
        </w:rPr>
        <w:t xml:space="preserve">chr (2): lake, species</w:t>
      </w:r>
      <w:r>
        <w:br/>
      </w:r>
      <w:r>
        <w:rPr>
          <w:rStyle w:val="VerbatimChar"/>
        </w:rPr>
        <w:t xml:space="preserve">dbl (3): site, length_mm, mass_g</w:t>
      </w:r>
      <w:r>
        <w:br/>
      </w:r>
      <w:r>
        <w:br/>
      </w:r>
      <w:r>
        <w:rPr>
          <w:rStyle w:val="VerbatimChar"/>
        </w:rPr>
        <w:t xml:space="preserve">ℹ Use `spec()` to retrieve the full column specification for this data.</w:t>
      </w:r>
      <w:r>
        <w:br/>
      </w:r>
      <w:r>
        <w:rPr>
          <w:rStyle w:val="VerbatimChar"/>
        </w:rPr>
        <w:t xml:space="preserve">ℹ Specify the column types or set `show_col_types = FALSE` to quiet this message.</w:t>
      </w:r>
    </w:p>
    <w:p>
      <w:pPr>
        <w:pStyle w:val="SourceCode"/>
      </w:pPr>
      <w:r>
        <w:rPr>
          <w:rStyle w:val="CommentTok"/>
        </w:rPr>
        <w:t xml:space="preserve"># Preview the data</w:t>
      </w:r>
      <w:r>
        <w:br/>
      </w:r>
      <w:r>
        <w:rPr>
          <w:rStyle w:val="FunctionTok"/>
        </w:rPr>
        <w:t xml:space="preserve">head</w:t>
      </w:r>
      <w:r>
        <w:rPr>
          <w:rStyle w:val="NormalTok"/>
        </w:rPr>
        <w:t xml:space="preserve">(sculpin_df)</w:t>
      </w:r>
    </w:p>
    <w:p>
      <w:pPr>
        <w:pStyle w:val="SourceCode"/>
      </w:pPr>
      <w:r>
        <w:rPr>
          <w:rStyle w:val="VerbatimChar"/>
        </w:rPr>
        <w:t xml:space="preserve"># A tibble: 6 × 5</w:t>
      </w:r>
      <w:r>
        <w:br/>
      </w:r>
      <w:r>
        <w:rPr>
          <w:rStyle w:val="VerbatimChar"/>
        </w:rPr>
        <w:t xml:space="preserve">   site lake  species       length_mm mass_g</w:t>
      </w:r>
      <w:r>
        <w:br/>
      </w:r>
      <w:r>
        <w:rPr>
          <w:rStyle w:val="VerbatimChar"/>
        </w:rPr>
        <w:t xml:space="preserve">  &lt;dbl&gt; &lt;chr&gt; &lt;chr&gt;             &lt;dbl&gt;  &lt;dbl&gt;</w:t>
      </w:r>
      <w:r>
        <w:br/>
      </w:r>
      <w:r>
        <w:rPr>
          <w:rStyle w:val="VerbatimChar"/>
        </w:rPr>
        <w:t xml:space="preserve">1   109 NE 14 slimy sculpin        47   0.7 </w:t>
      </w:r>
      <w:r>
        <w:br/>
      </w:r>
      <w:r>
        <w:rPr>
          <w:rStyle w:val="VerbatimChar"/>
        </w:rPr>
        <w:t xml:space="preserve">2   109 NE 14 slimy sculpin        49   0.9 </w:t>
      </w:r>
      <w:r>
        <w:br/>
      </w:r>
      <w:r>
        <w:rPr>
          <w:rStyle w:val="VerbatimChar"/>
        </w:rPr>
        <w:t xml:space="preserve">3   109 NE 14 slimy sculpin        46   0.7 </w:t>
      </w:r>
      <w:r>
        <w:br/>
      </w:r>
      <w:r>
        <w:rPr>
          <w:rStyle w:val="VerbatimChar"/>
        </w:rPr>
        <w:t xml:space="preserve">4   109 NE 14 slimy sculpin        28   0.15</w:t>
      </w:r>
      <w:r>
        <w:br/>
      </w:r>
      <w:r>
        <w:rPr>
          <w:rStyle w:val="VerbatimChar"/>
        </w:rPr>
        <w:t xml:space="preserve">5   109 NE 14 slimy sculpin        45   0.65</w:t>
      </w:r>
      <w:r>
        <w:br/>
      </w:r>
      <w:r>
        <w:rPr>
          <w:rStyle w:val="VerbatimChar"/>
        </w:rPr>
        <w:t xml:space="preserve">6   109 NE 14 slimy sculpin        40   0.3 </w:t>
      </w:r>
    </w:p>
    <w:bookmarkEnd w:id="12"/>
    <w:bookmarkStart w:id="13" w:name="data-overview"/>
    <w:p>
      <w:pPr>
        <w:pStyle w:val="Heading2"/>
      </w:pPr>
      <w:r>
        <w:t xml:space="preserve">Data Overview</w:t>
      </w:r>
    </w:p>
    <w:p>
      <w:pPr>
        <w:pStyle w:val="FirstParagraph"/>
      </w:pPr>
      <w:r>
        <w:t xml:space="preserve">Let’s first examine the structure of our dataset:</w:t>
      </w:r>
    </w:p>
    <w:p>
      <w:pPr>
        <w:pStyle w:val="SourceCode"/>
      </w:pPr>
      <w:r>
        <w:rPr>
          <w:rStyle w:val="CommentTok"/>
        </w:rPr>
        <w:t xml:space="preserve"># Summary statistics</w:t>
      </w:r>
      <w:r>
        <w:br/>
      </w:r>
      <w:r>
        <w:rPr>
          <w:rStyle w:val="NormalTok"/>
        </w:rPr>
        <w:t xml:space="preserve">sculpin_df </w:t>
      </w:r>
      <w:r>
        <w:rPr>
          <w:rStyle w:val="SpecialCharTok"/>
        </w:rPr>
        <w:t xml:space="preserve">%&gt;%</w:t>
      </w:r>
      <w:r>
        <w:rPr>
          <w:rStyle w:val="NormalTok"/>
        </w:rPr>
        <w:t xml:space="preserve"> </w:t>
      </w:r>
      <w:r>
        <w:rPr>
          <w:rStyle w:val="FunctionTok"/>
        </w:rPr>
        <w:t xml:space="preserve">group_by</w:t>
      </w:r>
      <w:r>
        <w:rPr>
          <w:rStyle w:val="NormalTok"/>
        </w:rPr>
        <w:t xml:space="preserve">(lake) </w:t>
      </w:r>
      <w:r>
        <w:rPr>
          <w:rStyle w:val="SpecialCharTok"/>
        </w:rPr>
        <w:t xml:space="preserve">%&gt;%</w:t>
      </w:r>
      <w:r>
        <w:rPr>
          <w:rStyle w:val="NormalTok"/>
        </w:rPr>
        <w:t xml:space="preserve"> </w:t>
      </w:r>
      <w:r>
        <w:rPr>
          <w:rStyle w:val="FunctionTok"/>
        </w:rPr>
        <w:t xml:space="preserve">skim</w:t>
      </w:r>
      <w:r>
        <w:rPr>
          <w:rStyle w:val="NormalTok"/>
        </w:rPr>
        <w:t xml:space="preserve">()</w:t>
      </w:r>
    </w:p>
    <w:p>
      <w:pPr>
        <w:pStyle w:val="TableCaption"/>
      </w:pPr>
      <w:r>
        <w:t xml:space="preserve">Data summary</w:t>
      </w:r>
    </w:p>
    <w:tbl>
      <w:tblPr>
        <w:tblStyle w:val="Table"/>
        <w:tblW w:type="auto" w:w="0"/>
        <w:tblLook w:firstRow="0" w:lastRow="0" w:firstColumn="0" w:lastColumn="0" w:noHBand="0" w:noVBand="0" w:val="0000"/>
        <w:tblCaption w:val="Data summary"/>
      </w:tblPr>
      <w:tblGrid>
        <w:gridCol w:w="3960"/>
        <w:gridCol w:w="3960"/>
      </w:tblGrid>
      <w:tr>
        <w:tc>
          <w:tcPr/>
          <w:p>
            <w:pPr>
              <w:pStyle w:val="Compact"/>
              <w:jc w:val="left"/>
            </w:pPr>
            <w:r>
              <w:t xml:space="preserve">Name</w:t>
            </w:r>
          </w:p>
        </w:tc>
        <w:tc>
          <w:tcPr/>
          <w:p>
            <w:pPr>
              <w:pStyle w:val="Compact"/>
              <w:jc w:val="left"/>
            </w:pPr>
            <w:r>
              <w:t xml:space="preserve">Piped data</w:t>
            </w:r>
          </w:p>
        </w:tc>
      </w:tr>
      <w:tr>
        <w:tc>
          <w:tcPr/>
          <w:p>
            <w:pPr>
              <w:pStyle w:val="Compact"/>
              <w:jc w:val="left"/>
            </w:pPr>
            <w:r>
              <w:t xml:space="preserve">Number of rows</w:t>
            </w:r>
          </w:p>
        </w:tc>
        <w:tc>
          <w:tcPr/>
          <w:p>
            <w:pPr>
              <w:pStyle w:val="Compact"/>
              <w:jc w:val="left"/>
            </w:pPr>
            <w:r>
              <w:t xml:space="preserve">110</w:t>
            </w:r>
          </w:p>
        </w:tc>
      </w:tr>
      <w:tr>
        <w:tc>
          <w:tcPr/>
          <w:p>
            <w:pPr>
              <w:pStyle w:val="Compact"/>
              <w:jc w:val="left"/>
            </w:pPr>
            <w:r>
              <w:t xml:space="preserve">Number of columns</w:t>
            </w:r>
          </w:p>
        </w:tc>
        <w:tc>
          <w:tcPr/>
          <w:p>
            <w:pPr>
              <w:pStyle w:val="Compact"/>
              <w:jc w:val="left"/>
            </w:pPr>
            <w:r>
              <w:t xml:space="preserve">5</w:t>
            </w:r>
          </w:p>
        </w:tc>
      </w:tr>
      <w:tr>
        <w:tc>
          <w:tcPr/>
          <w:p>
            <w:pPr>
              <w:pStyle w:val="Compact"/>
              <w:jc w:val="left"/>
            </w:pPr>
            <w:r>
              <w:t xml:space="preserve">_______________________</w:t>
            </w:r>
          </w:p>
        </w:tc>
        <w:tc>
          <w:tcPr/>
          <w:p>
            <w:pPr>
              <w:pStyle w:val="Compact"/>
            </w:pPr>
          </w:p>
        </w:tc>
      </w:tr>
      <w:tr>
        <w:tc>
          <w:tcPr/>
          <w:p>
            <w:pPr>
              <w:pStyle w:val="Compact"/>
              <w:jc w:val="left"/>
            </w:pPr>
            <w:r>
              <w:t xml:space="preserve">Column type frequency:</w:t>
            </w:r>
          </w:p>
        </w:tc>
        <w:tc>
          <w:tcPr/>
          <w:p>
            <w:pPr>
              <w:pStyle w:val="Compact"/>
            </w:pPr>
          </w:p>
        </w:tc>
      </w:tr>
      <w:tr>
        <w:tc>
          <w:tcPr/>
          <w:p>
            <w:pPr>
              <w:pStyle w:val="Compact"/>
              <w:jc w:val="left"/>
            </w:pPr>
            <w:r>
              <w:t xml:space="preserve">character</w:t>
            </w:r>
          </w:p>
        </w:tc>
        <w:tc>
          <w:tcPr/>
          <w:p>
            <w:pPr>
              <w:pStyle w:val="Compact"/>
              <w:jc w:val="left"/>
            </w:pPr>
            <w:r>
              <w:t xml:space="preserve">1</w:t>
            </w:r>
          </w:p>
        </w:tc>
      </w:tr>
      <w:tr>
        <w:tc>
          <w:tcPr/>
          <w:p>
            <w:pPr>
              <w:pStyle w:val="Compact"/>
              <w:jc w:val="left"/>
            </w:pPr>
            <w:r>
              <w:t xml:space="preserve">numeric</w:t>
            </w:r>
          </w:p>
        </w:tc>
        <w:tc>
          <w:tcPr/>
          <w:p>
            <w:pPr>
              <w:pStyle w:val="Compact"/>
              <w:jc w:val="left"/>
            </w:pPr>
            <w:r>
              <w:t xml:space="preserve">3</w:t>
            </w:r>
          </w:p>
        </w:tc>
      </w:tr>
      <w:tr>
        <w:tc>
          <w:tcPr/>
          <w:p>
            <w:pPr>
              <w:pStyle w:val="Compact"/>
              <w:jc w:val="left"/>
            </w:pPr>
            <w:r>
              <w:t xml:space="preserve">________________________</w:t>
            </w:r>
          </w:p>
        </w:tc>
        <w:tc>
          <w:tcPr/>
          <w:p>
            <w:pPr>
              <w:pStyle w:val="Compact"/>
            </w:pPr>
          </w:p>
        </w:tc>
      </w:tr>
      <w:tr>
        <w:tc>
          <w:tcPr/>
          <w:p>
            <w:pPr>
              <w:pStyle w:val="Compact"/>
              <w:jc w:val="left"/>
            </w:pPr>
            <w:r>
              <w:t xml:space="preserve">Group variables</w:t>
            </w:r>
          </w:p>
        </w:tc>
        <w:tc>
          <w:tcPr/>
          <w:p>
            <w:pPr>
              <w:pStyle w:val="Compact"/>
              <w:jc w:val="left"/>
            </w:pPr>
            <w:r>
              <w:t xml:space="preserve">lake</w:t>
            </w:r>
          </w:p>
        </w:tc>
      </w:tr>
    </w:tbl>
    <w:p>
      <w:pPr>
        <w:pStyle w:val="BodyText"/>
      </w:pPr>
      <w:r>
        <w:rPr>
          <w:b/>
          <w:bCs/>
        </w:rPr>
        <w:t xml:space="preserve">Variable type: character</w:t>
      </w:r>
    </w:p>
    <w:tbl>
      <w:tblPr>
        <w:tblStyle w:val="Table"/>
        <w:tblW w:type="pct" w:w="5000"/>
        <w:tblLayout w:type="fixed"/>
        <w:tblLook w:firstRow="1" w:lastRow="0" w:firstColumn="0" w:lastColumn="0" w:noHBand="0" w:noVBand="0" w:val="0020"/>
      </w:tblPr>
      <w:tblGrid>
        <w:gridCol w:w="1421"/>
        <w:gridCol w:w="609"/>
        <w:gridCol w:w="1015"/>
        <w:gridCol w:w="1421"/>
        <w:gridCol w:w="406"/>
        <w:gridCol w:w="406"/>
        <w:gridCol w:w="609"/>
        <w:gridCol w:w="913"/>
        <w:gridCol w:w="1116"/>
      </w:tblGrid>
      <w:tr>
        <w:trPr>
          <w:tblHeader w:val="on"/>
        </w:trPr>
        <w:tc>
          <w:tcPr/>
          <w:p>
            <w:pPr>
              <w:pStyle w:val="Compact"/>
              <w:jc w:val="left"/>
            </w:pPr>
            <w:r>
              <w:t xml:space="preserve">skim_variable</w:t>
            </w:r>
          </w:p>
        </w:tc>
        <w:tc>
          <w:tcPr/>
          <w:p>
            <w:pPr>
              <w:pStyle w:val="Compact"/>
              <w:jc w:val="left"/>
            </w:pPr>
            <w:r>
              <w:t xml:space="preserve">lake</w:t>
            </w:r>
          </w:p>
        </w:tc>
        <w:tc>
          <w:tcPr/>
          <w:p>
            <w:pPr>
              <w:pStyle w:val="Compact"/>
              <w:jc w:val="right"/>
            </w:pPr>
            <w:r>
              <w:t xml:space="preserve">n_missing</w:t>
            </w:r>
          </w:p>
        </w:tc>
        <w:tc>
          <w:tcPr/>
          <w:p>
            <w:pPr>
              <w:pStyle w:val="Compact"/>
              <w:jc w:val="right"/>
            </w:pPr>
            <w:r>
              <w:t xml:space="preserve">complete_rate</w:t>
            </w:r>
          </w:p>
        </w:tc>
        <w:tc>
          <w:tcPr/>
          <w:p>
            <w:pPr>
              <w:pStyle w:val="Compact"/>
              <w:jc w:val="right"/>
            </w:pPr>
            <w:r>
              <w:t xml:space="preserve">min</w:t>
            </w:r>
          </w:p>
        </w:tc>
        <w:tc>
          <w:tcPr/>
          <w:p>
            <w:pPr>
              <w:pStyle w:val="Compact"/>
              <w:jc w:val="right"/>
            </w:pPr>
            <w:r>
              <w:t xml:space="preserve">max</w:t>
            </w:r>
          </w:p>
        </w:tc>
        <w:tc>
          <w:tcPr/>
          <w:p>
            <w:pPr>
              <w:pStyle w:val="Compact"/>
              <w:jc w:val="right"/>
            </w:pPr>
            <w:r>
              <w:t xml:space="preserve">empty</w:t>
            </w:r>
          </w:p>
        </w:tc>
        <w:tc>
          <w:tcPr/>
          <w:p>
            <w:pPr>
              <w:pStyle w:val="Compact"/>
              <w:jc w:val="right"/>
            </w:pPr>
            <w:r>
              <w:t xml:space="preserve">n_unique</w:t>
            </w:r>
          </w:p>
        </w:tc>
        <w:tc>
          <w:tcPr/>
          <w:p>
            <w:pPr>
              <w:pStyle w:val="Compact"/>
              <w:jc w:val="right"/>
            </w:pPr>
            <w:r>
              <w:t xml:space="preserve">whitespace</w:t>
            </w:r>
          </w:p>
        </w:tc>
      </w:tr>
      <w:tr>
        <w:tc>
          <w:tcPr/>
          <w:p>
            <w:pPr>
              <w:pStyle w:val="Compact"/>
              <w:jc w:val="left"/>
            </w:pPr>
            <w:r>
              <w:t xml:space="preserve">species</w:t>
            </w:r>
          </w:p>
        </w:tc>
        <w:tc>
          <w:tcPr/>
          <w:p>
            <w:pPr>
              <w:pStyle w:val="Compact"/>
              <w:jc w:val="left"/>
            </w:pPr>
            <w:r>
              <w:t xml:space="preserve">NE 14</w:t>
            </w:r>
          </w:p>
        </w:tc>
        <w:tc>
          <w:tcPr/>
          <w:p>
            <w:pPr>
              <w:pStyle w:val="Compact"/>
              <w:jc w:val="right"/>
            </w:pPr>
            <w:r>
              <w:t xml:space="preserve">0</w:t>
            </w:r>
          </w:p>
        </w:tc>
        <w:tc>
          <w:tcPr/>
          <w:p>
            <w:pPr>
              <w:pStyle w:val="Compact"/>
              <w:jc w:val="right"/>
            </w:pPr>
            <w:r>
              <w:t xml:space="preserve">1</w:t>
            </w:r>
          </w:p>
        </w:tc>
        <w:tc>
          <w:tcPr/>
          <w:p>
            <w:pPr>
              <w:pStyle w:val="Compact"/>
              <w:jc w:val="right"/>
            </w:pPr>
            <w:r>
              <w:t xml:space="preserve">13</w:t>
            </w:r>
          </w:p>
        </w:tc>
        <w:tc>
          <w:tcPr/>
          <w:p>
            <w:pPr>
              <w:pStyle w:val="Compact"/>
              <w:jc w:val="right"/>
            </w:pPr>
            <w:r>
              <w:t xml:space="preserve">13</w:t>
            </w:r>
          </w:p>
        </w:tc>
        <w:tc>
          <w:tcPr/>
          <w:p>
            <w:pPr>
              <w:pStyle w:val="Compact"/>
              <w:jc w:val="right"/>
            </w:pPr>
            <w:r>
              <w:t xml:space="preserve">0</w:t>
            </w:r>
          </w:p>
        </w:tc>
        <w:tc>
          <w:tcPr/>
          <w:p>
            <w:pPr>
              <w:pStyle w:val="Compact"/>
              <w:jc w:val="right"/>
            </w:pPr>
            <w:r>
              <w:t xml:space="preserve">1</w:t>
            </w:r>
          </w:p>
        </w:tc>
        <w:tc>
          <w:tcPr/>
          <w:p>
            <w:pPr>
              <w:pStyle w:val="Compact"/>
              <w:jc w:val="right"/>
            </w:pPr>
            <w:r>
              <w:t xml:space="preserve">0</w:t>
            </w:r>
          </w:p>
        </w:tc>
      </w:tr>
      <w:tr>
        <w:tc>
          <w:tcPr/>
          <w:p>
            <w:pPr>
              <w:pStyle w:val="Compact"/>
              <w:jc w:val="left"/>
            </w:pPr>
            <w:r>
              <w:t xml:space="preserve">species</w:t>
            </w:r>
          </w:p>
        </w:tc>
        <w:tc>
          <w:tcPr/>
          <w:p>
            <w:pPr>
              <w:pStyle w:val="Compact"/>
              <w:jc w:val="left"/>
            </w:pPr>
            <w:r>
              <w:t xml:space="preserve">S 07</w:t>
            </w:r>
          </w:p>
        </w:tc>
        <w:tc>
          <w:tcPr/>
          <w:p>
            <w:pPr>
              <w:pStyle w:val="Compact"/>
              <w:jc w:val="right"/>
            </w:pPr>
            <w:r>
              <w:t xml:space="preserve">0</w:t>
            </w:r>
          </w:p>
        </w:tc>
        <w:tc>
          <w:tcPr/>
          <w:p>
            <w:pPr>
              <w:pStyle w:val="Compact"/>
              <w:jc w:val="right"/>
            </w:pPr>
            <w:r>
              <w:t xml:space="preserve">1</w:t>
            </w:r>
          </w:p>
        </w:tc>
        <w:tc>
          <w:tcPr/>
          <w:p>
            <w:pPr>
              <w:pStyle w:val="Compact"/>
              <w:jc w:val="right"/>
            </w:pPr>
            <w:r>
              <w:t xml:space="preserve">13</w:t>
            </w:r>
          </w:p>
        </w:tc>
        <w:tc>
          <w:tcPr/>
          <w:p>
            <w:pPr>
              <w:pStyle w:val="Compact"/>
              <w:jc w:val="right"/>
            </w:pPr>
            <w:r>
              <w:t xml:space="preserve">13</w:t>
            </w:r>
          </w:p>
        </w:tc>
        <w:tc>
          <w:tcPr/>
          <w:p>
            <w:pPr>
              <w:pStyle w:val="Compact"/>
              <w:jc w:val="right"/>
            </w:pPr>
            <w:r>
              <w:t xml:space="preserve">0</w:t>
            </w:r>
          </w:p>
        </w:tc>
        <w:tc>
          <w:tcPr/>
          <w:p>
            <w:pPr>
              <w:pStyle w:val="Compact"/>
              <w:jc w:val="right"/>
            </w:pPr>
            <w:r>
              <w:t xml:space="preserve">1</w:t>
            </w:r>
          </w:p>
        </w:tc>
        <w:tc>
          <w:tcPr/>
          <w:p>
            <w:pPr>
              <w:pStyle w:val="Compact"/>
              <w:jc w:val="right"/>
            </w:pPr>
            <w:r>
              <w:t xml:space="preserve">0</w:t>
            </w:r>
          </w:p>
        </w:tc>
      </w:tr>
    </w:tbl>
    <w:p>
      <w:pPr>
        <w:pStyle w:val="BodyText"/>
      </w:pPr>
      <w:r>
        <w:rPr>
          <w:b/>
          <w:bCs/>
        </w:rPr>
        <w:t xml:space="preserve">Variable type: numeric</w:t>
      </w:r>
    </w:p>
    <w:tbl>
      <w:tblPr>
        <w:tblStyle w:val="Table"/>
        <w:tblW w:type="pct" w:w="5000"/>
        <w:tblLayout w:type="fixed"/>
        <w:tblLook w:firstRow="1" w:lastRow="0" w:firstColumn="0" w:lastColumn="0" w:noHBand="0" w:noVBand="0" w:val="0020"/>
      </w:tblPr>
      <w:tblGrid>
        <w:gridCol w:w="1131"/>
        <w:gridCol w:w="484"/>
        <w:gridCol w:w="808"/>
        <w:gridCol w:w="1131"/>
        <w:gridCol w:w="565"/>
        <w:gridCol w:w="484"/>
        <w:gridCol w:w="565"/>
        <w:gridCol w:w="565"/>
        <w:gridCol w:w="565"/>
        <w:gridCol w:w="565"/>
        <w:gridCol w:w="565"/>
        <w:gridCol w:w="484"/>
      </w:tblGrid>
      <w:tr>
        <w:trPr>
          <w:tblHeader w:val="on"/>
        </w:trPr>
        <w:tc>
          <w:tcPr/>
          <w:p>
            <w:pPr>
              <w:pStyle w:val="Compact"/>
              <w:jc w:val="left"/>
            </w:pPr>
            <w:r>
              <w:t xml:space="preserve">skim_variable</w:t>
            </w:r>
          </w:p>
        </w:tc>
        <w:tc>
          <w:tcPr/>
          <w:p>
            <w:pPr>
              <w:pStyle w:val="Compact"/>
              <w:jc w:val="left"/>
            </w:pPr>
            <w:r>
              <w:t xml:space="preserve">lake</w:t>
            </w:r>
          </w:p>
        </w:tc>
        <w:tc>
          <w:tcPr/>
          <w:p>
            <w:pPr>
              <w:pStyle w:val="Compact"/>
              <w:jc w:val="right"/>
            </w:pPr>
            <w:r>
              <w:t xml:space="preserve">n_missing</w:t>
            </w:r>
          </w:p>
        </w:tc>
        <w:tc>
          <w:tcPr/>
          <w:p>
            <w:pPr>
              <w:pStyle w:val="Compact"/>
              <w:jc w:val="right"/>
            </w:pPr>
            <w:r>
              <w:t xml:space="preserve">complete_rate</w:t>
            </w:r>
          </w:p>
        </w:tc>
        <w:tc>
          <w:tcPr/>
          <w:p>
            <w:pPr>
              <w:pStyle w:val="Compact"/>
              <w:jc w:val="right"/>
            </w:pPr>
            <w:r>
              <w:t xml:space="preserve">mean</w:t>
            </w:r>
          </w:p>
        </w:tc>
        <w:tc>
          <w:tcPr/>
          <w:p>
            <w:pPr>
              <w:pStyle w:val="Compact"/>
              <w:jc w:val="right"/>
            </w:pPr>
            <w:r>
              <w:t xml:space="preserve">sd</w:t>
            </w:r>
          </w:p>
        </w:tc>
        <w:tc>
          <w:tcPr/>
          <w:p>
            <w:pPr>
              <w:pStyle w:val="Compact"/>
              <w:jc w:val="right"/>
            </w:pPr>
            <w:r>
              <w:t xml:space="preserve">p0</w:t>
            </w:r>
          </w:p>
        </w:tc>
        <w:tc>
          <w:tcPr/>
          <w:p>
            <w:pPr>
              <w:pStyle w:val="Compact"/>
              <w:jc w:val="right"/>
            </w:pPr>
            <w:r>
              <w:t xml:space="preserve">p25</w:t>
            </w:r>
          </w:p>
        </w:tc>
        <w:tc>
          <w:tcPr/>
          <w:p>
            <w:pPr>
              <w:pStyle w:val="Compact"/>
              <w:jc w:val="right"/>
            </w:pPr>
            <w:r>
              <w:t xml:space="preserve">p50</w:t>
            </w:r>
          </w:p>
        </w:tc>
        <w:tc>
          <w:tcPr/>
          <w:p>
            <w:pPr>
              <w:pStyle w:val="Compact"/>
              <w:jc w:val="right"/>
            </w:pPr>
            <w:r>
              <w:t xml:space="preserve">p75</w:t>
            </w:r>
          </w:p>
        </w:tc>
        <w:tc>
          <w:tcPr/>
          <w:p>
            <w:pPr>
              <w:pStyle w:val="Compact"/>
              <w:jc w:val="right"/>
            </w:pPr>
            <w:r>
              <w:t xml:space="preserve">p100</w:t>
            </w:r>
          </w:p>
        </w:tc>
        <w:tc>
          <w:tcPr/>
          <w:p>
            <w:pPr>
              <w:pStyle w:val="Compact"/>
              <w:jc w:val="left"/>
            </w:pPr>
            <w:r>
              <w:t xml:space="preserve">hist</w:t>
            </w:r>
          </w:p>
        </w:tc>
      </w:tr>
      <w:tr>
        <w:tc>
          <w:tcPr/>
          <w:p>
            <w:pPr>
              <w:pStyle w:val="Compact"/>
              <w:jc w:val="left"/>
            </w:pPr>
            <w:r>
              <w:t xml:space="preserve">site</w:t>
            </w:r>
          </w:p>
        </w:tc>
        <w:tc>
          <w:tcPr/>
          <w:p>
            <w:pPr>
              <w:pStyle w:val="Compact"/>
              <w:jc w:val="left"/>
            </w:pPr>
            <w:r>
              <w:t xml:space="preserve">NE 14</w:t>
            </w:r>
          </w:p>
        </w:tc>
        <w:tc>
          <w:tcPr/>
          <w:p>
            <w:pPr>
              <w:pStyle w:val="Compact"/>
              <w:jc w:val="right"/>
            </w:pPr>
            <w:r>
              <w:t xml:space="preserve">0</w:t>
            </w:r>
          </w:p>
        </w:tc>
        <w:tc>
          <w:tcPr/>
          <w:p>
            <w:pPr>
              <w:pStyle w:val="Compact"/>
              <w:jc w:val="right"/>
            </w:pPr>
            <w:r>
              <w:t xml:space="preserve">1</w:t>
            </w:r>
          </w:p>
        </w:tc>
        <w:tc>
          <w:tcPr/>
          <w:p>
            <w:pPr>
              <w:pStyle w:val="Compact"/>
              <w:jc w:val="right"/>
            </w:pPr>
            <w:r>
              <w:t xml:space="preserve">109.00</w:t>
            </w:r>
          </w:p>
        </w:tc>
        <w:tc>
          <w:tcPr/>
          <w:p>
            <w:pPr>
              <w:pStyle w:val="Compact"/>
              <w:jc w:val="right"/>
            </w:pPr>
            <w:r>
              <w:t xml:space="preserve">0.00</w:t>
            </w:r>
          </w:p>
        </w:tc>
        <w:tc>
          <w:tcPr/>
          <w:p>
            <w:pPr>
              <w:pStyle w:val="Compact"/>
              <w:jc w:val="right"/>
            </w:pPr>
            <w:r>
              <w:t xml:space="preserve">109.00</w:t>
            </w:r>
          </w:p>
        </w:tc>
        <w:tc>
          <w:tcPr/>
          <w:p>
            <w:pPr>
              <w:pStyle w:val="Compact"/>
              <w:jc w:val="right"/>
            </w:pPr>
            <w:r>
              <w:t xml:space="preserve">109.00</w:t>
            </w:r>
          </w:p>
        </w:tc>
        <w:tc>
          <w:tcPr/>
          <w:p>
            <w:pPr>
              <w:pStyle w:val="Compact"/>
              <w:jc w:val="right"/>
            </w:pPr>
            <w:r>
              <w:t xml:space="preserve">109.00</w:t>
            </w:r>
          </w:p>
        </w:tc>
        <w:tc>
          <w:tcPr/>
          <w:p>
            <w:pPr>
              <w:pStyle w:val="Compact"/>
              <w:jc w:val="right"/>
            </w:pPr>
            <w:r>
              <w:t xml:space="preserve">109.00</w:t>
            </w:r>
          </w:p>
        </w:tc>
        <w:tc>
          <w:tcPr/>
          <w:p>
            <w:pPr>
              <w:pStyle w:val="Compact"/>
              <w:jc w:val="right"/>
            </w:pPr>
            <w:r>
              <w:t xml:space="preserve">109.00</w:t>
            </w:r>
          </w:p>
        </w:tc>
        <w:tc>
          <w:tcPr/>
          <w:p>
            <w:pPr>
              <w:pStyle w:val="Compact"/>
              <w:jc w:val="left"/>
            </w:pPr>
            <w:r>
              <w:t xml:space="preserve">▁▁▇▁▁</w:t>
            </w:r>
          </w:p>
        </w:tc>
      </w:tr>
      <w:tr>
        <w:tc>
          <w:tcPr/>
          <w:p>
            <w:pPr>
              <w:pStyle w:val="Compact"/>
              <w:jc w:val="left"/>
            </w:pPr>
            <w:r>
              <w:t xml:space="preserve">site</w:t>
            </w:r>
          </w:p>
        </w:tc>
        <w:tc>
          <w:tcPr/>
          <w:p>
            <w:pPr>
              <w:pStyle w:val="Compact"/>
              <w:jc w:val="left"/>
            </w:pPr>
            <w:r>
              <w:t xml:space="preserve">S 07</w:t>
            </w:r>
          </w:p>
        </w:tc>
        <w:tc>
          <w:tcPr/>
          <w:p>
            <w:pPr>
              <w:pStyle w:val="Compact"/>
              <w:jc w:val="right"/>
            </w:pPr>
            <w:r>
              <w:t xml:space="preserve">0</w:t>
            </w:r>
          </w:p>
        </w:tc>
        <w:tc>
          <w:tcPr/>
          <w:p>
            <w:pPr>
              <w:pStyle w:val="Compact"/>
              <w:jc w:val="right"/>
            </w:pPr>
            <w:r>
              <w:t xml:space="preserve">1</w:t>
            </w:r>
          </w:p>
        </w:tc>
        <w:tc>
          <w:tcPr/>
          <w:p>
            <w:pPr>
              <w:pStyle w:val="Compact"/>
              <w:jc w:val="right"/>
            </w:pPr>
            <w:r>
              <w:t xml:space="preserve">152.00</w:t>
            </w:r>
          </w:p>
        </w:tc>
        <w:tc>
          <w:tcPr/>
          <w:p>
            <w:pPr>
              <w:pStyle w:val="Compact"/>
              <w:jc w:val="right"/>
            </w:pPr>
            <w:r>
              <w:t xml:space="preserve">0.00</w:t>
            </w:r>
          </w:p>
        </w:tc>
        <w:tc>
          <w:tcPr/>
          <w:p>
            <w:pPr>
              <w:pStyle w:val="Compact"/>
              <w:jc w:val="right"/>
            </w:pPr>
            <w:r>
              <w:t xml:space="preserve">152.00</w:t>
            </w:r>
          </w:p>
        </w:tc>
        <w:tc>
          <w:tcPr/>
          <w:p>
            <w:pPr>
              <w:pStyle w:val="Compact"/>
              <w:jc w:val="right"/>
            </w:pPr>
            <w:r>
              <w:t xml:space="preserve">152.00</w:t>
            </w:r>
          </w:p>
        </w:tc>
        <w:tc>
          <w:tcPr/>
          <w:p>
            <w:pPr>
              <w:pStyle w:val="Compact"/>
              <w:jc w:val="right"/>
            </w:pPr>
            <w:r>
              <w:t xml:space="preserve">152.00</w:t>
            </w:r>
          </w:p>
        </w:tc>
        <w:tc>
          <w:tcPr/>
          <w:p>
            <w:pPr>
              <w:pStyle w:val="Compact"/>
              <w:jc w:val="right"/>
            </w:pPr>
            <w:r>
              <w:t xml:space="preserve">152.00</w:t>
            </w:r>
          </w:p>
        </w:tc>
        <w:tc>
          <w:tcPr/>
          <w:p>
            <w:pPr>
              <w:pStyle w:val="Compact"/>
              <w:jc w:val="right"/>
            </w:pPr>
            <w:r>
              <w:t xml:space="preserve">152.00</w:t>
            </w:r>
          </w:p>
        </w:tc>
        <w:tc>
          <w:tcPr/>
          <w:p>
            <w:pPr>
              <w:pStyle w:val="Compact"/>
              <w:jc w:val="left"/>
            </w:pPr>
            <w:r>
              <w:t xml:space="preserve">▁▁▇▁▁</w:t>
            </w:r>
          </w:p>
        </w:tc>
      </w:tr>
      <w:tr>
        <w:tc>
          <w:tcPr/>
          <w:p>
            <w:pPr>
              <w:pStyle w:val="Compact"/>
              <w:jc w:val="left"/>
            </w:pPr>
            <w:r>
              <w:t xml:space="preserve">length_mm</w:t>
            </w:r>
          </w:p>
        </w:tc>
        <w:tc>
          <w:tcPr/>
          <w:p>
            <w:pPr>
              <w:pStyle w:val="Compact"/>
              <w:jc w:val="left"/>
            </w:pPr>
            <w:r>
              <w:t xml:space="preserve">NE 14</w:t>
            </w:r>
          </w:p>
        </w:tc>
        <w:tc>
          <w:tcPr/>
          <w:p>
            <w:pPr>
              <w:pStyle w:val="Compact"/>
              <w:jc w:val="right"/>
            </w:pPr>
            <w:r>
              <w:t xml:space="preserve">0</w:t>
            </w:r>
          </w:p>
        </w:tc>
        <w:tc>
          <w:tcPr/>
          <w:p>
            <w:pPr>
              <w:pStyle w:val="Compact"/>
              <w:jc w:val="right"/>
            </w:pPr>
            <w:r>
              <w:t xml:space="preserve">1</w:t>
            </w:r>
          </w:p>
        </w:tc>
        <w:tc>
          <w:tcPr/>
          <w:p>
            <w:pPr>
              <w:pStyle w:val="Compact"/>
              <w:jc w:val="right"/>
            </w:pPr>
            <w:r>
              <w:t xml:space="preserve">47.27</w:t>
            </w:r>
          </w:p>
        </w:tc>
        <w:tc>
          <w:tcPr/>
          <w:p>
            <w:pPr>
              <w:pStyle w:val="Compact"/>
              <w:jc w:val="right"/>
            </w:pPr>
            <w:r>
              <w:t xml:space="preserve">10.49</w:t>
            </w:r>
          </w:p>
        </w:tc>
        <w:tc>
          <w:tcPr/>
          <w:p>
            <w:pPr>
              <w:pStyle w:val="Compact"/>
              <w:jc w:val="right"/>
            </w:pPr>
            <w:r>
              <w:t xml:space="preserve">25.00</w:t>
            </w:r>
          </w:p>
        </w:tc>
        <w:tc>
          <w:tcPr/>
          <w:p>
            <w:pPr>
              <w:pStyle w:val="Compact"/>
              <w:jc w:val="right"/>
            </w:pPr>
            <w:r>
              <w:t xml:space="preserve">42.00</w:t>
            </w:r>
          </w:p>
        </w:tc>
        <w:tc>
          <w:tcPr/>
          <w:p>
            <w:pPr>
              <w:pStyle w:val="Compact"/>
              <w:jc w:val="right"/>
            </w:pPr>
            <w:r>
              <w:t xml:space="preserve">48.00</w:t>
            </w:r>
          </w:p>
        </w:tc>
        <w:tc>
          <w:tcPr/>
          <w:p>
            <w:pPr>
              <w:pStyle w:val="Compact"/>
              <w:jc w:val="right"/>
            </w:pPr>
            <w:r>
              <w:t xml:space="preserve">54.00</w:t>
            </w:r>
          </w:p>
        </w:tc>
        <w:tc>
          <w:tcPr/>
          <w:p>
            <w:pPr>
              <w:pStyle w:val="Compact"/>
              <w:jc w:val="right"/>
            </w:pPr>
            <w:r>
              <w:t xml:space="preserve">67.00</w:t>
            </w:r>
          </w:p>
        </w:tc>
        <w:tc>
          <w:tcPr/>
          <w:p>
            <w:pPr>
              <w:pStyle w:val="Compact"/>
              <w:jc w:val="left"/>
            </w:pPr>
            <w:r>
              <w:t xml:space="preserve">▂▃▇▇▂</w:t>
            </w:r>
          </w:p>
        </w:tc>
      </w:tr>
      <w:tr>
        <w:tc>
          <w:tcPr/>
          <w:p>
            <w:pPr>
              <w:pStyle w:val="Compact"/>
              <w:jc w:val="left"/>
            </w:pPr>
            <w:r>
              <w:t xml:space="preserve">length_mm</w:t>
            </w:r>
          </w:p>
        </w:tc>
        <w:tc>
          <w:tcPr/>
          <w:p>
            <w:pPr>
              <w:pStyle w:val="Compact"/>
              <w:jc w:val="left"/>
            </w:pPr>
            <w:r>
              <w:t xml:space="preserve">S 07</w:t>
            </w:r>
          </w:p>
        </w:tc>
        <w:tc>
          <w:tcPr/>
          <w:p>
            <w:pPr>
              <w:pStyle w:val="Compact"/>
              <w:jc w:val="right"/>
            </w:pPr>
            <w:r>
              <w:t xml:space="preserve">0</w:t>
            </w:r>
          </w:p>
        </w:tc>
        <w:tc>
          <w:tcPr/>
          <w:p>
            <w:pPr>
              <w:pStyle w:val="Compact"/>
              <w:jc w:val="right"/>
            </w:pPr>
            <w:r>
              <w:t xml:space="preserve">1</w:t>
            </w:r>
          </w:p>
        </w:tc>
        <w:tc>
          <w:tcPr/>
          <w:p>
            <w:pPr>
              <w:pStyle w:val="Compact"/>
              <w:jc w:val="right"/>
            </w:pPr>
            <w:r>
              <w:t xml:space="preserve">55.56</w:t>
            </w:r>
          </w:p>
        </w:tc>
        <w:tc>
          <w:tcPr/>
          <w:p>
            <w:pPr>
              <w:pStyle w:val="Compact"/>
              <w:jc w:val="right"/>
            </w:pPr>
            <w:r>
              <w:t xml:space="preserve">12.65</w:t>
            </w:r>
          </w:p>
        </w:tc>
        <w:tc>
          <w:tcPr/>
          <w:p>
            <w:pPr>
              <w:pStyle w:val="Compact"/>
              <w:jc w:val="right"/>
            </w:pPr>
            <w:r>
              <w:t xml:space="preserve">31.00</w:t>
            </w:r>
          </w:p>
        </w:tc>
        <w:tc>
          <w:tcPr/>
          <w:p>
            <w:pPr>
              <w:pStyle w:val="Compact"/>
              <w:jc w:val="right"/>
            </w:pPr>
            <w:r>
              <w:t xml:space="preserve">45.00</w:t>
            </w:r>
          </w:p>
        </w:tc>
        <w:tc>
          <w:tcPr/>
          <w:p>
            <w:pPr>
              <w:pStyle w:val="Compact"/>
              <w:jc w:val="right"/>
            </w:pPr>
            <w:r>
              <w:t xml:space="preserve">57.00</w:t>
            </w:r>
          </w:p>
        </w:tc>
        <w:tc>
          <w:tcPr/>
          <w:p>
            <w:pPr>
              <w:pStyle w:val="Compact"/>
              <w:jc w:val="right"/>
            </w:pPr>
            <w:r>
              <w:t xml:space="preserve">64.00</w:t>
            </w:r>
          </w:p>
        </w:tc>
        <w:tc>
          <w:tcPr/>
          <w:p>
            <w:pPr>
              <w:pStyle w:val="Compact"/>
              <w:jc w:val="right"/>
            </w:pPr>
            <w:r>
              <w:t xml:space="preserve">87.00</w:t>
            </w:r>
          </w:p>
        </w:tc>
        <w:tc>
          <w:tcPr/>
          <w:p>
            <w:pPr>
              <w:pStyle w:val="Compact"/>
              <w:jc w:val="left"/>
            </w:pPr>
            <w:r>
              <w:t xml:space="preserve">▅▅▇▃▂</w:t>
            </w:r>
          </w:p>
        </w:tc>
      </w:tr>
      <w:tr>
        <w:tc>
          <w:tcPr/>
          <w:p>
            <w:pPr>
              <w:pStyle w:val="Compact"/>
              <w:jc w:val="left"/>
            </w:pPr>
            <w:r>
              <w:t xml:space="preserve">mass_g</w:t>
            </w:r>
          </w:p>
        </w:tc>
        <w:tc>
          <w:tcPr/>
          <w:p>
            <w:pPr>
              <w:pStyle w:val="Compact"/>
              <w:jc w:val="left"/>
            </w:pPr>
            <w:r>
              <w:t xml:space="preserve">NE 14</w:t>
            </w:r>
          </w:p>
        </w:tc>
        <w:tc>
          <w:tcPr/>
          <w:p>
            <w:pPr>
              <w:pStyle w:val="Compact"/>
              <w:jc w:val="right"/>
            </w:pPr>
            <w:r>
              <w:t xml:space="preserve">0</w:t>
            </w:r>
          </w:p>
        </w:tc>
        <w:tc>
          <w:tcPr/>
          <w:p>
            <w:pPr>
              <w:pStyle w:val="Compact"/>
              <w:jc w:val="right"/>
            </w:pPr>
            <w:r>
              <w:t xml:space="preserve">1</w:t>
            </w:r>
          </w:p>
        </w:tc>
        <w:tc>
          <w:tcPr/>
          <w:p>
            <w:pPr>
              <w:pStyle w:val="Compact"/>
              <w:jc w:val="right"/>
            </w:pPr>
            <w:r>
              <w:t xml:space="preserve">0.89</w:t>
            </w:r>
          </w:p>
        </w:tc>
        <w:tc>
          <w:tcPr/>
          <w:p>
            <w:pPr>
              <w:pStyle w:val="Compact"/>
              <w:jc w:val="right"/>
            </w:pPr>
            <w:r>
              <w:t xml:space="preserve">0.52</w:t>
            </w:r>
          </w:p>
        </w:tc>
        <w:tc>
          <w:tcPr/>
          <w:p>
            <w:pPr>
              <w:pStyle w:val="Compact"/>
              <w:jc w:val="right"/>
            </w:pPr>
            <w:r>
              <w:t xml:space="preserve">0.10</w:t>
            </w:r>
          </w:p>
        </w:tc>
        <w:tc>
          <w:tcPr/>
          <w:p>
            <w:pPr>
              <w:pStyle w:val="Compact"/>
              <w:jc w:val="right"/>
            </w:pPr>
            <w:r>
              <w:t xml:space="preserve">0.45</w:t>
            </w:r>
          </w:p>
        </w:tc>
        <w:tc>
          <w:tcPr/>
          <w:p>
            <w:pPr>
              <w:pStyle w:val="Compact"/>
              <w:jc w:val="right"/>
            </w:pPr>
            <w:r>
              <w:t xml:space="preserve">0.85</w:t>
            </w:r>
          </w:p>
        </w:tc>
        <w:tc>
          <w:tcPr/>
          <w:p>
            <w:pPr>
              <w:pStyle w:val="Compact"/>
              <w:jc w:val="right"/>
            </w:pPr>
            <w:r>
              <w:t xml:space="preserve">1.25</w:t>
            </w:r>
          </w:p>
        </w:tc>
        <w:tc>
          <w:tcPr/>
          <w:p>
            <w:pPr>
              <w:pStyle w:val="Compact"/>
              <w:jc w:val="right"/>
            </w:pPr>
            <w:r>
              <w:t xml:space="preserve">2.30</w:t>
            </w:r>
          </w:p>
        </w:tc>
        <w:tc>
          <w:tcPr/>
          <w:p>
            <w:pPr>
              <w:pStyle w:val="Compact"/>
              <w:jc w:val="left"/>
            </w:pPr>
            <w:r>
              <w:t xml:space="preserve">▇▇▇▂▁</w:t>
            </w:r>
          </w:p>
        </w:tc>
      </w:tr>
      <w:tr>
        <w:tc>
          <w:tcPr/>
          <w:p>
            <w:pPr>
              <w:pStyle w:val="Compact"/>
              <w:jc w:val="left"/>
            </w:pPr>
            <w:r>
              <w:t xml:space="preserve">mass_g</w:t>
            </w:r>
          </w:p>
        </w:tc>
        <w:tc>
          <w:tcPr/>
          <w:p>
            <w:pPr>
              <w:pStyle w:val="Compact"/>
              <w:jc w:val="left"/>
            </w:pPr>
            <w:r>
              <w:t xml:space="preserve">S 07</w:t>
            </w:r>
          </w:p>
        </w:tc>
        <w:tc>
          <w:tcPr/>
          <w:p>
            <w:pPr>
              <w:pStyle w:val="Compact"/>
              <w:jc w:val="right"/>
            </w:pPr>
            <w:r>
              <w:t xml:space="preserve">0</w:t>
            </w:r>
          </w:p>
        </w:tc>
        <w:tc>
          <w:tcPr/>
          <w:p>
            <w:pPr>
              <w:pStyle w:val="Compact"/>
              <w:jc w:val="right"/>
            </w:pPr>
            <w:r>
              <w:t xml:space="preserve">1</w:t>
            </w:r>
          </w:p>
        </w:tc>
        <w:tc>
          <w:tcPr/>
          <w:p>
            <w:pPr>
              <w:pStyle w:val="Compact"/>
              <w:jc w:val="right"/>
            </w:pPr>
            <w:r>
              <w:t xml:space="preserve">1.66</w:t>
            </w:r>
          </w:p>
        </w:tc>
        <w:tc>
          <w:tcPr/>
          <w:p>
            <w:pPr>
              <w:pStyle w:val="Compact"/>
              <w:jc w:val="right"/>
            </w:pPr>
            <w:r>
              <w:t xml:space="preserve">1.23</w:t>
            </w:r>
          </w:p>
        </w:tc>
        <w:tc>
          <w:tcPr/>
          <w:p>
            <w:pPr>
              <w:pStyle w:val="Compact"/>
              <w:jc w:val="right"/>
            </w:pPr>
            <w:r>
              <w:t xml:space="preserve">0.25</w:t>
            </w:r>
          </w:p>
        </w:tc>
        <w:tc>
          <w:tcPr/>
          <w:p>
            <w:pPr>
              <w:pStyle w:val="Compact"/>
              <w:jc w:val="right"/>
            </w:pPr>
            <w:r>
              <w:t xml:space="preserve">0.80</w:t>
            </w:r>
          </w:p>
        </w:tc>
        <w:tc>
          <w:tcPr/>
          <w:p>
            <w:pPr>
              <w:pStyle w:val="Compact"/>
              <w:jc w:val="right"/>
            </w:pPr>
            <w:r>
              <w:t xml:space="preserve">1.45</w:t>
            </w:r>
          </w:p>
        </w:tc>
        <w:tc>
          <w:tcPr/>
          <w:p>
            <w:pPr>
              <w:pStyle w:val="Compact"/>
              <w:jc w:val="right"/>
            </w:pPr>
            <w:r>
              <w:t xml:space="preserve">2.10</w:t>
            </w:r>
          </w:p>
        </w:tc>
        <w:tc>
          <w:tcPr/>
          <w:p>
            <w:pPr>
              <w:pStyle w:val="Compact"/>
              <w:jc w:val="right"/>
            </w:pPr>
            <w:r>
              <w:t xml:space="preserve">7.37</w:t>
            </w:r>
          </w:p>
        </w:tc>
        <w:tc>
          <w:tcPr/>
          <w:p>
            <w:pPr>
              <w:pStyle w:val="Compact"/>
              <w:jc w:val="left"/>
            </w:pPr>
            <w:r>
              <w:t xml:space="preserve">▇▃▁▁▁</w:t>
            </w:r>
          </w:p>
        </w:tc>
      </w:tr>
    </w:tbl>
    <w:bookmarkEnd w:id="13"/>
    <w:bookmarkEnd w:id="14"/>
    <w:bookmarkStart w:id="26" w:name="data-visualization"/>
    <w:p>
      <w:pPr>
        <w:pStyle w:val="Heading1"/>
      </w:pPr>
      <w:r>
        <w:t xml:space="preserve">Data Visualization</w:t>
      </w:r>
    </w:p>
    <w:p>
      <w:pPr>
        <w:pStyle w:val="FirstParagraph"/>
      </w:pPr>
      <w:r>
        <w:t xml:space="preserve">Let’s visualize our data to better understand the distributions and differences between the two lakes:</w:t>
      </w:r>
    </w:p>
    <w:bookmarkStart w:id="18" w:name="box-plot-with-individual-data-points"/>
    <w:p>
      <w:pPr>
        <w:pStyle w:val="Heading2"/>
      </w:pPr>
      <w:r>
        <w:t xml:space="preserve">Box Plot with Individual Data Points</w:t>
      </w:r>
    </w:p>
    <w:p>
      <w:pPr>
        <w:pStyle w:val="SourceCode"/>
      </w:pPr>
      <w:r>
        <w:rPr>
          <w:rStyle w:val="CommentTok"/>
        </w:rPr>
        <w:t xml:space="preserve"># Create boxplot with individual points</w:t>
      </w:r>
      <w:r>
        <w:br/>
      </w:r>
      <w:r>
        <w:rPr>
          <w:rStyle w:val="FunctionTok"/>
        </w:rPr>
        <w:t xml:space="preserve">ggplot</w:t>
      </w:r>
      <w:r>
        <w:rPr>
          <w:rStyle w:val="NormalTok"/>
        </w:rPr>
        <w:t xml:space="preserve">(sculpin_df, </w:t>
      </w:r>
      <w:r>
        <w:rPr>
          <w:rStyle w:val="FunctionTok"/>
        </w:rPr>
        <w:t xml:space="preserve">aes</w:t>
      </w:r>
      <w:r>
        <w:rPr>
          <w:rStyle w:val="NormalTok"/>
        </w:rPr>
        <w:t xml:space="preserve">(</w:t>
      </w:r>
      <w:r>
        <w:rPr>
          <w:rStyle w:val="AttributeTok"/>
        </w:rPr>
        <w:t xml:space="preserve">x =</w:t>
      </w:r>
      <w:r>
        <w:rPr>
          <w:rStyle w:val="NormalTok"/>
        </w:rPr>
        <w:t xml:space="preserve"> lake, </w:t>
      </w:r>
      <w:r>
        <w:rPr>
          <w:rStyle w:val="AttributeTok"/>
        </w:rPr>
        <w:t xml:space="preserve">y =</w:t>
      </w:r>
      <w:r>
        <w:rPr>
          <w:rStyle w:val="NormalTok"/>
        </w:rPr>
        <w:t xml:space="preserve"> length_mm, </w:t>
      </w:r>
      <w:r>
        <w:rPr>
          <w:rStyle w:val="AttributeTok"/>
        </w:rPr>
        <w:t xml:space="preserve">fill =</w:t>
      </w:r>
      <w:r>
        <w:rPr>
          <w:rStyle w:val="NormalTok"/>
        </w:rPr>
        <w:t xml:space="preserve"> lake)) </w:t>
      </w:r>
      <w:r>
        <w:rPr>
          <w:rStyle w:val="SpecialCharTok"/>
        </w:rPr>
        <w:t xml:space="preserve">+</w:t>
      </w:r>
      <w:r>
        <w:br/>
      </w:r>
      <w:r>
        <w:rPr>
          <w:rStyle w:val="NormalTok"/>
        </w:rPr>
        <w:t xml:space="preserve">  </w:t>
      </w:r>
      <w:r>
        <w:rPr>
          <w:rStyle w:val="FunctionTok"/>
        </w:rPr>
        <w:t xml:space="preserve">geom_boxplot</w:t>
      </w:r>
      <w:r>
        <w:rPr>
          <w:rStyle w:val="NormalTok"/>
        </w:rPr>
        <w:t xml:space="preserve">(</w:t>
      </w:r>
      <w:r>
        <w:rPr>
          <w:rStyle w:val="AttributeTok"/>
        </w:rPr>
        <w:t xml:space="preserve">alpha =</w:t>
      </w:r>
      <w:r>
        <w:rPr>
          <w:rStyle w:val="NormalTok"/>
        </w:rPr>
        <w:t xml:space="preserve"> </w:t>
      </w:r>
      <w:r>
        <w:rPr>
          <w:rStyle w:val="FloatTok"/>
        </w:rPr>
        <w:t xml:space="preserve">0.7</w:t>
      </w:r>
      <w:r>
        <w:rPr>
          <w:rStyle w:val="NormalTok"/>
        </w:rPr>
        <w:t xml:space="preserve">, </w:t>
      </w:r>
      <w:r>
        <w:rPr>
          <w:rStyle w:val="AttributeTok"/>
        </w:rPr>
        <w:t xml:space="preserve">outlier.shape =</w:t>
      </w:r>
      <w:r>
        <w:rPr>
          <w:rStyle w:val="NormalTok"/>
        </w:rPr>
        <w:t xml:space="preserve"> </w:t>
      </w:r>
      <w:r>
        <w:rPr>
          <w:rStyle w:val="ConstantTok"/>
        </w:rPr>
        <w:t xml:space="preserve">NA</w:t>
      </w:r>
      <w:r>
        <w:rPr>
          <w:rStyle w:val="NormalTok"/>
        </w:rPr>
        <w:t xml:space="preserve">)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position =</w:t>
      </w:r>
      <w:r>
        <w:rPr>
          <w:rStyle w:val="NormalTok"/>
        </w:rPr>
        <w:t xml:space="preserve"> </w:t>
      </w:r>
      <w:r>
        <w:rPr>
          <w:rStyle w:val="FunctionTok"/>
        </w:rPr>
        <w:t xml:space="preserve">position_dodge2</w:t>
      </w:r>
      <w:r>
        <w:rPr>
          <w:rStyle w:val="NormalTok"/>
        </w:rPr>
        <w:t xml:space="preserve">(</w:t>
      </w:r>
      <w:r>
        <w:rPr>
          <w:rStyle w:val="AttributeTok"/>
        </w:rPr>
        <w:t xml:space="preserve">width =</w:t>
      </w:r>
      <w:r>
        <w:rPr>
          <w:rStyle w:val="NormalTok"/>
        </w:rPr>
        <w:t xml:space="preserve"> </w:t>
      </w:r>
      <w:r>
        <w:rPr>
          <w:rStyle w:val="FloatTok"/>
        </w:rPr>
        <w:t xml:space="preserve">0.3</w:t>
      </w:r>
      <w:r>
        <w:rPr>
          <w:rStyle w:val="NormalTok"/>
        </w:rPr>
        <w:t xml:space="preserve">), </w:t>
      </w:r>
      <w:r>
        <w:br/>
      </w:r>
      <w:r>
        <w:rPr>
          <w:rStyle w:val="NormalTok"/>
        </w:rPr>
        <w:t xml:space="preserve">             </w:t>
      </w:r>
      <w:r>
        <w:rPr>
          <w:rStyle w:val="AttributeTok"/>
        </w:rPr>
        <w:t xml:space="preserve">alpha =</w:t>
      </w:r>
      <w:r>
        <w:rPr>
          <w:rStyle w:val="NormalTok"/>
        </w:rPr>
        <w:t xml:space="preserve"> </w:t>
      </w:r>
      <w:r>
        <w:rPr>
          <w:rStyle w:val="FloatTok"/>
        </w:rPr>
        <w:t xml:space="preserve">0.5</w:t>
      </w:r>
      <w:r>
        <w:rPr>
          <w:rStyle w:val="NormalTok"/>
        </w:rPr>
        <w:t xml:space="preserve">, </w:t>
      </w:r>
      <w:r>
        <w:rPr>
          <w:rStyle w:val="AttributeTok"/>
        </w:rPr>
        <w:t xml:space="preserve">size =</w:t>
      </w:r>
      <w:r>
        <w:rPr>
          <w:rStyle w:val="NormalTok"/>
        </w:rPr>
        <w:t xml:space="preserve"> </w:t>
      </w:r>
      <w:r>
        <w:rPr>
          <w:rStyle w:val="DecValTok"/>
        </w:rPr>
        <w:t xml:space="preserve">2</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"Lake"</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"Total Length (mm)"</w:t>
      </w:r>
      <w:r>
        <w:rPr>
          <w:rStyle w:val="NormalTok"/>
        </w:rPr>
        <w:t xml:space="preserve">,</w:t>
      </w:r>
      <w:r>
        <w:br/>
      </w:r>
      <w:r>
        <w:rPr>
          <w:rStyle w:val="NormalTok"/>
        </w:rPr>
        <w:t xml:space="preserve">    </w:t>
      </w:r>
      <w:r>
        <w:rPr>
          <w:rStyle w:val="AttributeTok"/>
        </w:rPr>
        <w:t xml:space="preserve">fill =</w:t>
      </w:r>
      <w:r>
        <w:rPr>
          <w:rStyle w:val="NormalTok"/>
        </w:rPr>
        <w:t xml:space="preserve"> </w:t>
      </w:r>
      <w:r>
        <w:rPr>
          <w:rStyle w:val="StringTok"/>
        </w:rPr>
        <w:t xml:space="preserve">"Lake"</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br/>
      </w:r>
      <w:r>
        <w:rPr>
          <w:rStyle w:val="NormalTok"/>
        </w:rPr>
        <w:t xml:space="preserve">    </w:t>
      </w:r>
      <w:r>
        <w:rPr>
          <w:rStyle w:val="AttributeTok"/>
        </w:rPr>
        <w:t xml:space="preserve">plot.title =</w:t>
      </w:r>
      <w:r>
        <w:rPr>
          <w:rStyle w:val="NormalTok"/>
        </w:rPr>
        <w:t xml:space="preserve"> </w:t>
      </w:r>
      <w:r>
        <w:rPr>
          <w:rStyle w:val="FunctionTok"/>
        </w:rPr>
        <w:t xml:space="preserve">element_text</w:t>
      </w:r>
      <w:r>
        <w:rPr>
          <w:rStyle w:val="NormalTok"/>
        </w:rPr>
        <w:t xml:space="preserve">(</w:t>
      </w:r>
      <w:r>
        <w:rPr>
          <w:rStyle w:val="AttributeTok"/>
        </w:rPr>
        <w:t xml:space="preserve">hjust =</w:t>
      </w:r>
      <w:r>
        <w:rPr>
          <w:rStyle w:val="NormalTok"/>
        </w:rPr>
        <w:t xml:space="preserve"> </w:t>
      </w:r>
      <w:r>
        <w:rPr>
          <w:rStyle w:val="FloatTok"/>
        </w:rPr>
        <w:t xml:space="preserve">0.5</w:t>
      </w:r>
      <w:r>
        <w:rPr>
          <w:rStyle w:val="NormalTok"/>
        </w:rPr>
        <w:t xml:space="preserve">, </w:t>
      </w:r>
      <w:r>
        <w:rPr>
          <w:rStyle w:val="AttributeTok"/>
        </w:rPr>
        <w:t xml:space="preserve">face =</w:t>
      </w:r>
      <w:r>
        <w:rPr>
          <w:rStyle w:val="NormalTok"/>
        </w:rPr>
        <w:t xml:space="preserve"> </w:t>
      </w:r>
      <w:r>
        <w:rPr>
          <w:rStyle w:val="StringTok"/>
        </w:rPr>
        <w:t xml:space="preserve">"bold"</w:t>
      </w:r>
      <w:r>
        <w:rPr>
          <w:rStyle w:val="NormalTok"/>
        </w:rPr>
        <w:t xml:space="preserve">),</w:t>
      </w:r>
      <w:r>
        <w:br/>
      </w:r>
      <w:r>
        <w:rPr>
          <w:rStyle w:val="NormalTok"/>
        </w:rPr>
        <w:t xml:space="preserve">    </w:t>
      </w:r>
      <w:r>
        <w:rPr>
          <w:rStyle w:val="AttributeTok"/>
        </w:rPr>
        <w:t xml:space="preserve">legend.position =</w:t>
      </w:r>
      <w:r>
        <w:rPr>
          <w:rStyle w:val="NormalTok"/>
        </w:rPr>
        <w:t xml:space="preserve"> </w:t>
      </w:r>
      <w:r>
        <w:rPr>
          <w:rStyle w:val="StringTok"/>
        </w:rPr>
        <w:t xml:space="preserve">"right"</w:t>
      </w:r>
      <w:r>
        <w:br/>
      </w:r>
      <w:r>
        <w:rPr>
          <w:rStyle w:val="NormalTok"/>
        </w:rPr>
        <w:t xml:space="preserve">  ) </w:t>
      </w:r>
    </w:p>
    <w:p>
      <w:pPr>
        <w:pStyle w:val="FirstParagraph"/>
      </w:pPr>
      <w:r>
        <w:drawing>
          <wp:inline>
            <wp:extent cx="4572000" cy="4572000"/>
            <wp:effectExtent b="0" l="0" r="0" t="0"/>
            <wp:docPr descr="" title="" id="16" name="Picture"/>
            <a:graphic>
              <a:graphicData uri="http://schemas.openxmlformats.org/drawingml/2006/picture">
                <pic:pic>
                  <pic:nvPicPr>
                    <pic:cNvPr descr="03_two_sample_mann_whitney_u_test_files/figure-docx/unnamed-chunk-4-1.png" id="17" name="Picture"/>
                    <pic:cNvPicPr>
                      <a:picLocks noChangeArrowheads="1" noChangeAspect="1"/>
                    </pic:cNvPicPr>
                  </pic:nvPicPr>
                  <pic:blipFill>
                    <a:blip r:embed="rId15"/>
                    <a:stretch>
                      <a:fillRect/>
                    </a:stretch>
                  </pic:blipFill>
                  <pic:spPr bwMode="auto">
                    <a:xfrm>
                      <a:off x="0" y="0"/>
                      <a:ext cx="4572000" cy="4572000"/>
                    </a:xfrm>
                    <a:prstGeom prst="rect">
                      <a:avLst/>
                    </a:prstGeom>
                    <a:noFill/>
                    <a:ln w="9525">
                      <a:noFill/>
                      <a:headEnd/>
                      <a:tailEnd/>
                    </a:ln>
                  </pic:spPr>
                </pic:pic>
              </a:graphicData>
            </a:graphic>
          </wp:inline>
        </w:drawing>
      </w:r>
    </w:p>
    <w:p>
      <w:pPr>
        <w:pStyle w:val="BodyText"/>
      </w:pPr>
      <w:r>
        <w:t xml:space="preserve">The boxplot shows the distribution of total lengths for each lake. The box represents the interquartile range (IQR, from the 25th to 75th percentile), with the horizontal line inside the box indicating the median. The individual points show the actual measurements, helping us visualize the full distribution of the data.</w:t>
      </w:r>
    </w:p>
    <w:bookmarkEnd w:id="18"/>
    <w:bookmarkStart w:id="25" w:name="mean-and-se-individual-data-points"/>
    <w:p>
      <w:pPr>
        <w:pStyle w:val="Heading2"/>
      </w:pPr>
      <w:r>
        <w:t xml:space="preserve">Mean and SE Individual Data Points</w:t>
      </w:r>
    </w:p>
    <w:p>
      <w:pPr>
        <w:pStyle w:val="SourceCode"/>
      </w:pPr>
      <w:r>
        <w:rPr>
          <w:rStyle w:val="NormalTok"/>
        </w:rPr>
        <w:t xml:space="preserve">sculpin_df </w:t>
      </w:r>
      <w:r>
        <w:rPr>
          <w:rStyle w:val="SpecialCharTok"/>
        </w:rPr>
        <w:t xml:space="preserve">%&gt;%</w:t>
      </w:r>
      <w:r>
        <w:rPr>
          <w:rStyle w:val="NormalTok"/>
        </w:rPr>
        <w:t xml:space="preserve"> </w:t>
      </w:r>
      <w:r>
        <w:br/>
      </w:r>
      <w:r>
        <w:rPr>
          <w:rStyle w:val="FunctionTok"/>
        </w:rPr>
        <w:t xml:space="preserve">ggplot</w:t>
      </w:r>
      <w:r>
        <w:rPr>
          <w:rStyle w:val="NormalTok"/>
        </w:rPr>
        <w:t xml:space="preserve">( </w:t>
      </w:r>
      <w:r>
        <w:rPr>
          <w:rStyle w:val="FunctionTok"/>
        </w:rPr>
        <w:t xml:space="preserve">aes</w:t>
      </w:r>
      <w:r>
        <w:rPr>
          <w:rStyle w:val="NormalTok"/>
        </w:rPr>
        <w:t xml:space="preserve">(</w:t>
      </w:r>
      <w:r>
        <w:rPr>
          <w:rStyle w:val="AttributeTok"/>
        </w:rPr>
        <w:t xml:space="preserve">x =</w:t>
      </w:r>
      <w:r>
        <w:rPr>
          <w:rStyle w:val="NormalTok"/>
        </w:rPr>
        <w:t xml:space="preserve"> lake, </w:t>
      </w:r>
      <w:r>
        <w:rPr>
          <w:rStyle w:val="AttributeTok"/>
        </w:rPr>
        <w:t xml:space="preserve">y =</w:t>
      </w:r>
      <w:r>
        <w:rPr>
          <w:rStyle w:val="NormalTok"/>
        </w:rPr>
        <w:t xml:space="preserve"> length_mm, </w:t>
      </w:r>
      <w:r>
        <w:rPr>
          <w:rStyle w:val="AttributeTok"/>
        </w:rPr>
        <w:t xml:space="preserve">color =</w:t>
      </w:r>
      <w:r>
        <w:rPr>
          <w:rStyle w:val="NormalTok"/>
        </w:rPr>
        <w:t xml:space="preserve"> lake)) </w:t>
      </w:r>
      <w:r>
        <w:rPr>
          <w:rStyle w:val="SpecialCharTok"/>
        </w:rPr>
        <w:t xml:space="preserve">+</w:t>
      </w:r>
      <w:r>
        <w:br/>
      </w:r>
      <w:r>
        <w:rPr>
          <w:rStyle w:val="NormalTok"/>
        </w:rPr>
        <w:t xml:space="preserve">  </w:t>
      </w:r>
      <w:r>
        <w:rPr>
          <w:rStyle w:val="CommentTok"/>
        </w:rPr>
        <w:t xml:space="preserve"># Add individual data points in the background</w:t>
      </w:r>
      <w:r>
        <w:br/>
      </w:r>
      <w:r>
        <w:rPr>
          <w:rStyle w:val="NormalTok"/>
        </w:rPr>
        <w:t xml:space="preserve">  </w:t>
      </w:r>
      <w:r>
        <w:rPr>
          <w:rStyle w:val="FunctionTok"/>
        </w:rPr>
        <w:t xml:space="preserve">geom_point</w:t>
      </w:r>
      <w:r>
        <w:rPr>
          <w:rStyle w:val="NormalTok"/>
        </w:rPr>
        <w:t xml:space="preserve">(</w:t>
      </w:r>
      <w:r>
        <w:rPr>
          <w:rStyle w:val="AttributeTok"/>
        </w:rPr>
        <w:t xml:space="preserve">position =</w:t>
      </w:r>
      <w:r>
        <w:rPr>
          <w:rStyle w:val="NormalTok"/>
        </w:rPr>
        <w:t xml:space="preserve"> </w:t>
      </w:r>
      <w:r>
        <w:rPr>
          <w:rStyle w:val="FunctionTok"/>
        </w:rPr>
        <w:t xml:space="preserve">position_dodge2</w:t>
      </w:r>
      <w:r>
        <w:rPr>
          <w:rStyle w:val="NormalTok"/>
        </w:rPr>
        <w:t xml:space="preserve">(</w:t>
      </w:r>
      <w:r>
        <w:rPr>
          <w:rStyle w:val="AttributeTok"/>
        </w:rPr>
        <w:t xml:space="preserve">width =</w:t>
      </w:r>
      <w:r>
        <w:rPr>
          <w:rStyle w:val="NormalTok"/>
        </w:rPr>
        <w:t xml:space="preserve"> </w:t>
      </w:r>
      <w:r>
        <w:rPr>
          <w:rStyle w:val="FloatTok"/>
        </w:rPr>
        <w:t xml:space="preserve">0.3</w:t>
      </w:r>
      <w:r>
        <w:rPr>
          <w:rStyle w:val="NormalTok"/>
        </w:rPr>
        <w:t xml:space="preserve">), </w:t>
      </w:r>
      <w:r>
        <w:br/>
      </w:r>
      <w:r>
        <w:rPr>
          <w:rStyle w:val="NormalTok"/>
        </w:rPr>
        <w:t xml:space="preserve">             </w:t>
      </w:r>
      <w:r>
        <w:rPr>
          <w:rStyle w:val="AttributeTok"/>
        </w:rPr>
        <w:t xml:space="preserve">alpha =</w:t>
      </w:r>
      <w:r>
        <w:rPr>
          <w:rStyle w:val="NormalTok"/>
        </w:rPr>
        <w:t xml:space="preserve"> </w:t>
      </w:r>
      <w:r>
        <w:rPr>
          <w:rStyle w:val="FloatTok"/>
        </w:rPr>
        <w:t xml:space="preserve">0.5</w:t>
      </w:r>
      <w:r>
        <w:rPr>
          <w:rStyle w:val="NormalTok"/>
        </w:rPr>
        <w:t xml:space="preserve">, </w:t>
      </w:r>
      <w:r>
        <w:rPr>
          <w:rStyle w:val="AttributeTok"/>
        </w:rPr>
        <w:t xml:space="preserve">size =</w:t>
      </w:r>
      <w:r>
        <w:rPr>
          <w:rStyle w:val="NormalTok"/>
        </w:rPr>
        <w:t xml:space="preserve"> </w:t>
      </w:r>
      <w:r>
        <w:rPr>
          <w:rStyle w:val="FloatTok"/>
        </w:rPr>
        <w:t xml:space="preserve">1.5</w:t>
      </w:r>
      <w:r>
        <w:rPr>
          <w:rStyle w:val="NormalTok"/>
        </w:rPr>
        <w:t xml:space="preserve">) </w:t>
      </w:r>
      <w:r>
        <w:rPr>
          <w:rStyle w:val="SpecialCharTok"/>
        </w:rPr>
        <w:t xml:space="preserve">+</w:t>
      </w:r>
      <w:r>
        <w:br/>
      </w:r>
      <w:r>
        <w:rPr>
          <w:rStyle w:val="NormalTok"/>
        </w:rPr>
        <w:t xml:space="preserve">  </w:t>
      </w:r>
      <w:r>
        <w:rPr>
          <w:rStyle w:val="CommentTok"/>
        </w:rPr>
        <w:t xml:space="preserve"># Add mean and standard error</w:t>
      </w:r>
      <w:r>
        <w:br/>
      </w:r>
      <w:r>
        <w:rPr>
          <w:rStyle w:val="NormalTok"/>
        </w:rPr>
        <w:t xml:space="preserve">  </w:t>
      </w:r>
      <w:r>
        <w:rPr>
          <w:rStyle w:val="FunctionTok"/>
        </w:rPr>
        <w:t xml:space="preserve">stat_summary</w:t>
      </w:r>
      <w:r>
        <w:rPr>
          <w:rStyle w:val="NormalTok"/>
        </w:rPr>
        <w:t xml:space="preserve">(</w:t>
      </w:r>
      <w:r>
        <w:rPr>
          <w:rStyle w:val="AttributeTok"/>
        </w:rPr>
        <w:t xml:space="preserve">fun =</w:t>
      </w:r>
      <w:r>
        <w:rPr>
          <w:rStyle w:val="NormalTok"/>
        </w:rPr>
        <w:t xml:space="preserve"> mean, </w:t>
      </w:r>
      <w:r>
        <w:rPr>
          <w:rStyle w:val="AttributeTok"/>
        </w:rPr>
        <w:t xml:space="preserve">geom =</w:t>
      </w:r>
      <w:r>
        <w:rPr>
          <w:rStyle w:val="NormalTok"/>
        </w:rPr>
        <w:t xml:space="preserve"> </w:t>
      </w:r>
      <w:r>
        <w:rPr>
          <w:rStyle w:val="StringTok"/>
        </w:rPr>
        <w:t xml:space="preserve">"point"</w:t>
      </w:r>
      <w:r>
        <w:rPr>
          <w:rStyle w:val="NormalTok"/>
        </w:rPr>
        <w:t xml:space="preserve">, </w:t>
      </w:r>
      <w:r>
        <w:rPr>
          <w:rStyle w:val="AttributeTok"/>
        </w:rPr>
        <w:t xml:space="preserve">size =</w:t>
      </w:r>
      <w:r>
        <w:rPr>
          <w:rStyle w:val="NormalTok"/>
        </w:rPr>
        <w:t xml:space="preserve"> </w:t>
      </w:r>
      <w:r>
        <w:rPr>
          <w:rStyle w:val="DecValTok"/>
        </w:rPr>
        <w:t xml:space="preserve">4</w:t>
      </w:r>
      <w:r>
        <w:rPr>
          <w:rStyle w:val="NormalTok"/>
        </w:rPr>
        <w:t xml:space="preserve">) </w:t>
      </w:r>
      <w:r>
        <w:rPr>
          <w:rStyle w:val="SpecialCharTok"/>
        </w:rPr>
        <w:t xml:space="preserve">+</w:t>
      </w:r>
      <w:r>
        <w:br/>
      </w:r>
      <w:r>
        <w:rPr>
          <w:rStyle w:val="NormalTok"/>
        </w:rPr>
        <w:t xml:space="preserve">  </w:t>
      </w:r>
      <w:r>
        <w:rPr>
          <w:rStyle w:val="FunctionTok"/>
        </w:rPr>
        <w:t xml:space="preserve">stat_summary</w:t>
      </w:r>
      <w:r>
        <w:rPr>
          <w:rStyle w:val="NormalTok"/>
        </w:rPr>
        <w:t xml:space="preserve">(</w:t>
      </w:r>
      <w:r>
        <w:rPr>
          <w:rStyle w:val="AttributeTok"/>
        </w:rPr>
        <w:t xml:space="preserve">fun.data =</w:t>
      </w:r>
      <w:r>
        <w:rPr>
          <w:rStyle w:val="NormalTok"/>
        </w:rPr>
        <w:t xml:space="preserve"> mean_se, </w:t>
      </w:r>
      <w:r>
        <w:rPr>
          <w:rStyle w:val="AttributeTok"/>
        </w:rPr>
        <w:t xml:space="preserve">geom =</w:t>
      </w:r>
      <w:r>
        <w:rPr>
          <w:rStyle w:val="NormalTok"/>
        </w:rPr>
        <w:t xml:space="preserve"> </w:t>
      </w:r>
      <w:r>
        <w:rPr>
          <w:rStyle w:val="StringTok"/>
        </w:rPr>
        <w:t xml:space="preserve">"errorbar"</w:t>
      </w:r>
      <w:r>
        <w:rPr>
          <w:rStyle w:val="NormalTok"/>
        </w:rPr>
        <w:t xml:space="preserve">, </w:t>
      </w:r>
      <w:r>
        <w:rPr>
          <w:rStyle w:val="AttributeTok"/>
        </w:rPr>
        <w:t xml:space="preserve">width =</w:t>
      </w:r>
      <w:r>
        <w:rPr>
          <w:rStyle w:val="NormalTok"/>
        </w:rPr>
        <w:t xml:space="preserve"> </w:t>
      </w:r>
      <w:r>
        <w:rPr>
          <w:rStyle w:val="FloatTok"/>
        </w:rPr>
        <w:t xml:space="preserve">0.1</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"Lake"</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"Total Length (mm)"</w:t>
      </w:r>
      <w:r>
        <w:rPr>
          <w:rStyle w:val="NormalTok"/>
        </w:rPr>
        <w:t xml:space="preserve">,</w:t>
      </w:r>
      <w:r>
        <w:br/>
      </w:r>
      <w:r>
        <w:rPr>
          <w:rStyle w:val="NormalTok"/>
        </w:rPr>
        <w:t xml:space="preserve">    </w:t>
      </w:r>
      <w:r>
        <w:rPr>
          <w:rStyle w:val="AttributeTok"/>
        </w:rPr>
        <w:t xml:space="preserve">color =</w:t>
      </w:r>
      <w:r>
        <w:rPr>
          <w:rStyle w:val="NormalTok"/>
        </w:rPr>
        <w:t xml:space="preserve"> </w:t>
      </w:r>
      <w:r>
        <w:rPr>
          <w:rStyle w:val="StringTok"/>
        </w:rPr>
        <w:t xml:space="preserve">"Lake"</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br/>
      </w:r>
      <w:r>
        <w:rPr>
          <w:rStyle w:val="NormalTok"/>
        </w:rPr>
        <w:t xml:space="preserve">    </w:t>
      </w:r>
      <w:r>
        <w:rPr>
          <w:rStyle w:val="AttributeTok"/>
        </w:rPr>
        <w:t xml:space="preserve">plot.title =</w:t>
      </w:r>
      <w:r>
        <w:rPr>
          <w:rStyle w:val="NormalTok"/>
        </w:rPr>
        <w:t xml:space="preserve"> </w:t>
      </w:r>
      <w:r>
        <w:rPr>
          <w:rStyle w:val="FunctionTok"/>
        </w:rPr>
        <w:t xml:space="preserve">element_text</w:t>
      </w:r>
      <w:r>
        <w:rPr>
          <w:rStyle w:val="NormalTok"/>
        </w:rPr>
        <w:t xml:space="preserve">(</w:t>
      </w:r>
      <w:r>
        <w:rPr>
          <w:rStyle w:val="AttributeTok"/>
        </w:rPr>
        <w:t xml:space="preserve">hjust =</w:t>
      </w:r>
      <w:r>
        <w:rPr>
          <w:rStyle w:val="NormalTok"/>
        </w:rPr>
        <w:t xml:space="preserve"> </w:t>
      </w:r>
      <w:r>
        <w:rPr>
          <w:rStyle w:val="FloatTok"/>
        </w:rPr>
        <w:t xml:space="preserve">0.5</w:t>
      </w:r>
      <w:r>
        <w:rPr>
          <w:rStyle w:val="NormalTok"/>
        </w:rPr>
        <w:t xml:space="preserve">, </w:t>
      </w:r>
      <w:r>
        <w:rPr>
          <w:rStyle w:val="AttributeTok"/>
        </w:rPr>
        <w:t xml:space="preserve">face =</w:t>
      </w:r>
      <w:r>
        <w:rPr>
          <w:rStyle w:val="NormalTok"/>
        </w:rPr>
        <w:t xml:space="preserve"> </w:t>
      </w:r>
      <w:r>
        <w:rPr>
          <w:rStyle w:val="StringTok"/>
        </w:rPr>
        <w:t xml:space="preserve">"bold"</w:t>
      </w:r>
      <w:r>
        <w:rPr>
          <w:rStyle w:val="NormalTok"/>
        </w:rPr>
        <w:t xml:space="preserve">),</w:t>
      </w:r>
      <w:r>
        <w:br/>
      </w:r>
      <w:r>
        <w:rPr>
          <w:rStyle w:val="NormalTok"/>
        </w:rPr>
        <w:t xml:space="preserve">    </w:t>
      </w:r>
      <w:r>
        <w:rPr>
          <w:rStyle w:val="AttributeTok"/>
        </w:rPr>
        <w:t xml:space="preserve">legend.position =</w:t>
      </w:r>
      <w:r>
        <w:rPr>
          <w:rStyle w:val="NormalTok"/>
        </w:rPr>
        <w:t xml:space="preserve"> </w:t>
      </w:r>
      <w:r>
        <w:rPr>
          <w:rStyle w:val="StringTok"/>
        </w:rPr>
        <w:t xml:space="preserve">"right"</w:t>
      </w:r>
      <w:r>
        <w:br/>
      </w:r>
      <w:r>
        <w:rPr>
          <w:rStyle w:val="NormalTok"/>
        </w:rPr>
        <w:t xml:space="preserve">  ) </w:t>
      </w:r>
    </w:p>
    <w:p>
      <w:pPr>
        <w:pStyle w:val="FirstParagraph"/>
      </w:pPr>
      <w:r>
        <w:drawing>
          <wp:inline>
            <wp:extent cx="4572000" cy="4572000"/>
            <wp:effectExtent b="0" l="0" r="0" t="0"/>
            <wp:docPr descr="" title="" id="20" name="Picture"/>
            <a:graphic>
              <a:graphicData uri="http://schemas.openxmlformats.org/drawingml/2006/picture">
                <pic:pic>
                  <pic:nvPicPr>
                    <pic:cNvPr descr="03_two_sample_mann_whitney_u_test_files/figure-docx/unnamed-chunk-5-1.png" id="21" name="Picture"/>
                    <pic:cNvPicPr>
                      <a:picLocks noChangeArrowheads="1" noChangeAspect="1"/>
                    </pic:cNvPicPr>
                  </pic:nvPicPr>
                  <pic:blipFill>
                    <a:blip r:embed="rId19"/>
                    <a:stretch>
                      <a:fillRect/>
                    </a:stretch>
                  </pic:blipFill>
                  <pic:spPr bwMode="auto">
                    <a:xfrm>
                      <a:off x="0" y="0"/>
                      <a:ext cx="4572000" cy="4572000"/>
                    </a:xfrm>
                    <a:prstGeom prst="rect">
                      <a:avLst/>
                    </a:prstGeom>
                    <a:noFill/>
                    <a:ln w="9525">
                      <a:noFill/>
                      <a:headEnd/>
                      <a:tailEnd/>
                    </a:ln>
                  </pic:spPr>
                </pic:pic>
              </a:graphicData>
            </a:graphic>
          </wp:inline>
        </w:drawing>
      </w:r>
    </w:p>
    <w:p>
      <w:pPr>
        <w:pStyle w:val="BodyText"/>
      </w:pPr>
      <w:r>
        <w:drawing>
          <wp:inline>
            <wp:extent cx="508000" cy="330200"/>
            <wp:effectExtent b="0" l="0" r="0" t="0"/>
            <wp:docPr descr="" title="Run Current Chunk" id="23" name="Picture"/>
            <a:graphic>
              <a:graphicData uri="http://schemas.openxmlformats.org/drawingml/2006/picture">
                <pic:pic>
                  <pic:nvPicPr>
                    <pic:cNvPr descr="data:image/png;base64,iVBORw0KGgoAAAANSUhEUgAAACgAAAAaCAYAAADFTB7LAAAAcElEQVR4Xu3OwQmAQAxE0bClWYCW5N06tM6V2YPg5CjoF/JhLoHAi6iqn9eOefUbqrYvHY0cQDLyAlKRNyARmYA0ZMLRkAlGQyaU72tkAtlim7r/vJqDUDjlKBROOQyFU2icQuMUGqfQuBEaV1XPOwEx96nYACK8+wAAAABJRU5ErkJggg==" id="24" name="Picture"/>
                    <pic:cNvPicPr>
                      <a:picLocks noChangeArrowheads="1" noChangeAspect="1"/>
                    </pic:cNvPicPr>
                  </pic:nvPicPr>
                  <pic:blipFill>
                    <a:blip r:embed="rId22"/>
                    <a:stretch>
                      <a:fillRect/>
                    </a:stretch>
                  </pic:blipFill>
                  <pic:spPr bwMode="auto">
                    <a:xfrm>
                      <a:off x="0" y="0"/>
                      <a:ext cx="508000" cy="330200"/>
                    </a:xfrm>
                    <a:prstGeom prst="rect">
                      <a:avLst/>
                    </a:prstGeom>
                    <a:noFill/>
                    <a:ln w="9525">
                      <a:noFill/>
                      <a:headEnd/>
                      <a:tailEnd/>
                    </a:ln>
                  </pic:spPr>
                </pic:pic>
              </a:graphicData>
            </a:graphic>
          </wp:inline>
        </w:drawing>
      </w:r>
    </w:p>
    <w:bookmarkEnd w:id="25"/>
    <w:bookmarkEnd w:id="26"/>
    <w:bookmarkStart w:id="28" w:name="why-use-the-mann-whitney-wilcoxon-test"/>
    <w:p>
      <w:pPr>
        <w:pStyle w:val="Heading1"/>
      </w:pPr>
      <w:r>
        <w:t xml:space="preserve">Why Use the Mann-Whitney-Wilcoxon Test?</w:t>
      </w:r>
    </w:p>
    <w:bookmarkStart w:id="27" w:name="Xae38c543ded14d4a026ca5d76543328523d3265"/>
    <w:p>
      <w:pPr>
        <w:pStyle w:val="Heading2"/>
      </w:pPr>
      <w:r>
        <w:t xml:space="preserve">Assumptions of the Mann-Whitney-Wilcoxon Test</w:t>
      </w:r>
    </w:p>
    <w:p>
      <w:pPr>
        <w:pStyle w:val="FirstParagraph"/>
      </w:pPr>
      <w:r>
        <w:t xml:space="preserve">The Mann-Whitney-Wilcoxon test has the following assumptions:</w:t>
      </w:r>
    </w:p>
    <w:p>
      <w:pPr>
        <w:numPr>
          <w:ilvl w:val="0"/>
          <w:numId w:val="1004"/>
        </w:numPr>
      </w:pPr>
      <w:r>
        <w:rPr>
          <w:b/>
          <w:bCs/>
        </w:rPr>
        <w:t xml:space="preserve">Independent samples</w:t>
      </w:r>
      <w:r>
        <w:t xml:space="preserve">: The observations in each group are independent of each other, and the two groups are independent of each other.</w:t>
      </w:r>
    </w:p>
    <w:p>
      <w:pPr>
        <w:numPr>
          <w:ilvl w:val="0"/>
          <w:numId w:val="1004"/>
        </w:numPr>
      </w:pPr>
      <w:r>
        <w:rPr>
          <w:b/>
          <w:bCs/>
        </w:rPr>
        <w:t xml:space="preserve">Ordinal data</w:t>
      </w:r>
      <w:r>
        <w:t xml:space="preserve">: The measurements must be at least on an ordinal scale (can be ranked).</w:t>
      </w:r>
    </w:p>
    <w:p>
      <w:pPr>
        <w:numPr>
          <w:ilvl w:val="0"/>
          <w:numId w:val="1004"/>
        </w:numPr>
      </w:pPr>
      <w:r>
        <w:rPr>
          <w:b/>
          <w:bCs/>
        </w:rPr>
        <w:t xml:space="preserve">Similar distributions</w:t>
      </w:r>
      <w:r>
        <w:t xml:space="preserve">: If testing for differences in medians specifically, the shapes of the distributions should be similar (though not necessarily normal).</w:t>
      </w:r>
    </w:p>
    <w:p>
      <w:pPr>
        <w:numPr>
          <w:ilvl w:val="0"/>
          <w:numId w:val="1004"/>
        </w:numPr>
      </w:pPr>
      <w:r>
        <w:t xml:space="preserve">The Mann-Whitney-Wilcoxon test is appropriate regardless of the outcome because it doesn’t assume normality.</w:t>
      </w:r>
    </w:p>
    <w:bookmarkEnd w:id="27"/>
    <w:bookmarkEnd w:id="28"/>
    <w:bookmarkStart w:id="32" w:name="X703fce80bc87ff62a97af0beceb7297037f4275"/>
    <w:p>
      <w:pPr>
        <w:pStyle w:val="Heading1"/>
      </w:pPr>
      <w:r>
        <w:t xml:space="preserve">Performing the Mann-Whitney-Wilcoxon Test</w:t>
      </w:r>
    </w:p>
    <w:p>
      <w:pPr>
        <w:pStyle w:val="FirstParagraph"/>
      </w:pPr>
      <w:r>
        <w:t xml:space="preserve">Now let’s perform the Mann-Whitney-Wilcoxon test to compare the total lengths between the two lakes:</w:t>
      </w:r>
    </w:p>
    <w:bookmarkStart w:id="29" w:name="using-base-rs-wilcox.test-function"/>
    <w:p>
      <w:pPr>
        <w:pStyle w:val="Heading2"/>
      </w:pPr>
      <w:r>
        <w:t xml:space="preserve">Using Base R’s wilcox.test Function</w:t>
      </w:r>
    </w:p>
    <w:p>
      <w:pPr>
        <w:pStyle w:val="SourceCode"/>
      </w:pPr>
      <w:r>
        <w:rPr>
          <w:rStyle w:val="CommentTok"/>
        </w:rPr>
        <w:t xml:space="preserve"># Perform the Mann-Whitney-Wilcoxon test</w:t>
      </w:r>
      <w:r>
        <w:br/>
      </w:r>
      <w:r>
        <w:rPr>
          <w:rStyle w:val="NormalTok"/>
        </w:rPr>
        <w:t xml:space="preserve">wilcox_test </w:t>
      </w:r>
      <w:r>
        <w:rPr>
          <w:rStyle w:val="OtherTok"/>
        </w:rPr>
        <w:t xml:space="preserve">&lt;-</w:t>
      </w:r>
      <w:r>
        <w:rPr>
          <w:rStyle w:val="NormalTok"/>
        </w:rPr>
        <w:t xml:space="preserve"> </w:t>
      </w:r>
      <w:r>
        <w:rPr>
          <w:rStyle w:val="FunctionTok"/>
        </w:rPr>
        <w:t xml:space="preserve">wilcox.test</w:t>
      </w:r>
      <w:r>
        <w:rPr>
          <w:rStyle w:val="NormalTok"/>
        </w:rPr>
        <w:t xml:space="preserve">(length_mm </w:t>
      </w:r>
      <w:r>
        <w:rPr>
          <w:rStyle w:val="SpecialCharTok"/>
        </w:rPr>
        <w:t xml:space="preserve">~</w:t>
      </w:r>
      <w:r>
        <w:rPr>
          <w:rStyle w:val="NormalTok"/>
        </w:rPr>
        <w:t xml:space="preserve"> lake, </w:t>
      </w:r>
      <w:r>
        <w:br/>
      </w:r>
      <w:r>
        <w:rPr>
          <w:rStyle w:val="NormalTok"/>
        </w:rPr>
        <w:t xml:space="preserve">                          </w:t>
      </w:r>
      <w:r>
        <w:rPr>
          <w:rStyle w:val="AttributeTok"/>
        </w:rPr>
        <w:t xml:space="preserve">data =</w:t>
      </w:r>
      <w:r>
        <w:rPr>
          <w:rStyle w:val="NormalTok"/>
        </w:rPr>
        <w:t xml:space="preserve"> sculpin_df,</w:t>
      </w:r>
      <w:r>
        <w:br/>
      </w:r>
      <w:r>
        <w:rPr>
          <w:rStyle w:val="NormalTok"/>
        </w:rPr>
        <w:t xml:space="preserve">                          </w:t>
      </w:r>
      <w:r>
        <w:rPr>
          <w:rStyle w:val="AttributeTok"/>
        </w:rPr>
        <w:t xml:space="preserve">exact =</w:t>
      </w:r>
      <w:r>
        <w:rPr>
          <w:rStyle w:val="NormalTok"/>
        </w:rPr>
        <w:t xml:space="preserve"> </w:t>
      </w:r>
      <w:r>
        <w:rPr>
          <w:rStyle w:val="ConstantTok"/>
        </w:rPr>
        <w:t xml:space="preserve">FALSE</w:t>
      </w:r>
      <w:r>
        <w:rPr>
          <w:rStyle w:val="NormalTok"/>
        </w:rPr>
        <w:t xml:space="preserve">,  </w:t>
      </w:r>
      <w:r>
        <w:rPr>
          <w:rStyle w:val="CommentTok"/>
        </w:rPr>
        <w:t xml:space="preserve"># Use approximate method for larger samples</w:t>
      </w:r>
      <w:r>
        <w:br/>
      </w:r>
      <w:r>
        <w:rPr>
          <w:rStyle w:val="NormalTok"/>
        </w:rPr>
        <w:t xml:space="preserve">                          </w:t>
      </w:r>
      <w:r>
        <w:rPr>
          <w:rStyle w:val="AttributeTok"/>
        </w:rPr>
        <w:t xml:space="preserve">correct =</w:t>
      </w:r>
      <w:r>
        <w:rPr>
          <w:rStyle w:val="NormalTok"/>
        </w:rPr>
        <w:t xml:space="preserve"> </w:t>
      </w:r>
      <w:r>
        <w:rPr>
          <w:rStyle w:val="ConstantTok"/>
        </w:rPr>
        <w:t xml:space="preserve">TRUE</w:t>
      </w:r>
      <w:r>
        <w:rPr>
          <w:rStyle w:val="NormalTok"/>
        </w:rPr>
        <w:t xml:space="preserve">)  </w:t>
      </w:r>
      <w:r>
        <w:rPr>
          <w:rStyle w:val="CommentTok"/>
        </w:rPr>
        <w:t xml:space="preserve"># Apply continuity correction</w:t>
      </w:r>
      <w:r>
        <w:br/>
      </w:r>
      <w:r>
        <w:br/>
      </w:r>
      <w:r>
        <w:rPr>
          <w:rStyle w:val="CommentTok"/>
        </w:rPr>
        <w:t xml:space="preserve"># Display the results</w:t>
      </w:r>
      <w:r>
        <w:br/>
      </w:r>
      <w:r>
        <w:rPr>
          <w:rStyle w:val="NormalTok"/>
        </w:rPr>
        <w:t xml:space="preserve">wilcox_test</w:t>
      </w:r>
    </w:p>
    <w:p>
      <w:pPr>
        <w:pStyle w:val="SourceCode"/>
      </w:pPr>
      <w:r>
        <w:br/>
      </w:r>
      <w:r>
        <w:rPr>
          <w:rStyle w:val="VerbatimChar"/>
        </w:rPr>
        <w:t xml:space="preserve">    Wilcoxon rank sum test with continuity correction</w:t>
      </w:r>
      <w:r>
        <w:br/>
      </w:r>
      <w:r>
        <w:br/>
      </w:r>
      <w:r>
        <w:rPr>
          <w:rStyle w:val="VerbatimChar"/>
        </w:rPr>
        <w:t xml:space="preserve">data:  length_mm by lake</w:t>
      </w:r>
      <w:r>
        <w:br/>
      </w:r>
      <w:r>
        <w:rPr>
          <w:rStyle w:val="VerbatimChar"/>
        </w:rPr>
        <w:t xml:space="preserve">W = 867, p-value = 0.00223</w:t>
      </w:r>
      <w:r>
        <w:br/>
      </w:r>
      <w:r>
        <w:rPr>
          <w:rStyle w:val="VerbatimChar"/>
        </w:rPr>
        <w:t xml:space="preserve">alternative hypothesis: true location shift is not equal to 0</w:t>
      </w:r>
    </w:p>
    <w:p>
      <w:pPr>
        <w:pStyle w:val="SourceCode"/>
      </w:pPr>
      <w:r>
        <w:rPr>
          <w:rStyle w:val="CommentTok"/>
        </w:rPr>
        <w:t xml:space="preserve"># Store the p-value for later use</w:t>
      </w:r>
      <w:r>
        <w:br/>
      </w:r>
      <w:r>
        <w:rPr>
          <w:rStyle w:val="NormalTok"/>
        </w:rPr>
        <w:t xml:space="preserve">p_value </w:t>
      </w:r>
      <w:r>
        <w:rPr>
          <w:rStyle w:val="OtherTok"/>
        </w:rPr>
        <w:t xml:space="preserve">&lt;-</w:t>
      </w:r>
      <w:r>
        <w:rPr>
          <w:rStyle w:val="NormalTok"/>
        </w:rPr>
        <w:t xml:space="preserve"> wilcox_test</w:t>
      </w:r>
      <w:r>
        <w:rPr>
          <w:rStyle w:val="SpecialCharTok"/>
        </w:rPr>
        <w:t xml:space="preserve">$</w:t>
      </w:r>
      <w:r>
        <w:rPr>
          <w:rStyle w:val="NormalTok"/>
        </w:rPr>
        <w:t xml:space="preserve">p.value</w:t>
      </w:r>
    </w:p>
    <w:bookmarkEnd w:id="29"/>
    <w:bookmarkStart w:id="30" w:name="using-the-coin-package-for-an-exact-test"/>
    <w:p>
      <w:pPr>
        <w:pStyle w:val="Heading2"/>
      </w:pPr>
      <w:r>
        <w:t xml:space="preserve">Using the coin Package for an Exact Test</w:t>
      </w:r>
    </w:p>
    <w:p>
      <w:pPr>
        <w:pStyle w:val="FirstParagraph"/>
      </w:pPr>
      <w:r>
        <w:t xml:space="preserve">For more precise results, especially with smaller samples, we can use the</w:t>
      </w:r>
      <w:r>
        <w:t xml:space="preserve"> </w:t>
      </w:r>
      <w:r>
        <w:rPr>
          <w:rStyle w:val="VerbatimChar"/>
        </w:rPr>
        <w:t xml:space="preserve">coin</w:t>
      </w:r>
      <w:r>
        <w:t xml:space="preserve"> </w:t>
      </w:r>
      <w:r>
        <w:t xml:space="preserve">package to perform an exact Mann-Whitney-Wilcoxon test:</w:t>
      </w:r>
    </w:p>
    <w:p>
      <w:pPr>
        <w:pStyle w:val="SourceCode"/>
      </w:pPr>
      <w:r>
        <w:rPr>
          <w:rStyle w:val="CommentTok"/>
        </w:rPr>
        <w:t xml:space="preserve"># Convert lake to factor (required for the coin package)</w:t>
      </w:r>
      <w:r>
        <w:br/>
      </w:r>
      <w:r>
        <w:rPr>
          <w:rStyle w:val="NormalTok"/>
        </w:rPr>
        <w:t xml:space="preserve">sculpin_df</w:t>
      </w:r>
      <w:r>
        <w:rPr>
          <w:rStyle w:val="SpecialCharTok"/>
        </w:rPr>
        <w:t xml:space="preserve">$</w:t>
      </w:r>
      <w:r>
        <w:rPr>
          <w:rStyle w:val="NormalTok"/>
        </w:rPr>
        <w:t xml:space="preserve">lake_factor </w:t>
      </w:r>
      <w:r>
        <w:rPr>
          <w:rStyle w:val="OtherTok"/>
        </w:rPr>
        <w:t xml:space="preserve">&lt;-</w:t>
      </w:r>
      <w:r>
        <w:rPr>
          <w:rStyle w:val="NormalTok"/>
        </w:rPr>
        <w:t xml:space="preserve"> </w:t>
      </w:r>
      <w:r>
        <w:rPr>
          <w:rStyle w:val="FunctionTok"/>
        </w:rPr>
        <w:t xml:space="preserve">factor</w:t>
      </w:r>
      <w:r>
        <w:rPr>
          <w:rStyle w:val="NormalTok"/>
        </w:rPr>
        <w:t xml:space="preserve">(sculpin_df</w:t>
      </w:r>
      <w:r>
        <w:rPr>
          <w:rStyle w:val="SpecialCharTok"/>
        </w:rPr>
        <w:t xml:space="preserve">$</w:t>
      </w:r>
      <w:r>
        <w:rPr>
          <w:rStyle w:val="NormalTok"/>
        </w:rPr>
        <w:t xml:space="preserve">lake)</w:t>
      </w:r>
      <w:r>
        <w:br/>
      </w:r>
      <w:r>
        <w:br/>
      </w:r>
      <w:r>
        <w:rPr>
          <w:rStyle w:val="CommentTok"/>
        </w:rPr>
        <w:t xml:space="preserve"># Perform the Mann-Whitney test using the approximate method</w:t>
      </w:r>
      <w:r>
        <w:br/>
      </w:r>
      <w:r>
        <w:rPr>
          <w:rStyle w:val="CommentTok"/>
        </w:rPr>
        <w:t xml:space="preserve"># (which works reliably for all sample sizes)</w:t>
      </w:r>
      <w:r>
        <w:br/>
      </w:r>
      <w:r>
        <w:rPr>
          <w:rStyle w:val="NormalTok"/>
        </w:rPr>
        <w:t xml:space="preserve">coin_wilcox </w:t>
      </w:r>
      <w:r>
        <w:rPr>
          <w:rStyle w:val="OtherTok"/>
        </w:rPr>
        <w:t xml:space="preserve">&lt;-</w:t>
      </w:r>
      <w:r>
        <w:rPr>
          <w:rStyle w:val="NormalTok"/>
        </w:rPr>
        <w:t xml:space="preserve"> coin</w:t>
      </w:r>
      <w:r>
        <w:rPr>
          <w:rStyle w:val="SpecialCharTok"/>
        </w:rPr>
        <w:t xml:space="preserve">::</w:t>
      </w:r>
      <w:r>
        <w:rPr>
          <w:rStyle w:val="FunctionTok"/>
        </w:rPr>
        <w:t xml:space="preserve">wilcox_test</w:t>
      </w:r>
      <w:r>
        <w:rPr>
          <w:rStyle w:val="NormalTok"/>
        </w:rPr>
        <w:t xml:space="preserve">(</w:t>
      </w:r>
      <w:r>
        <w:br/>
      </w:r>
      <w:r>
        <w:rPr>
          <w:rStyle w:val="NormalTok"/>
        </w:rPr>
        <w:t xml:space="preserve">  length_mm </w:t>
      </w:r>
      <w:r>
        <w:rPr>
          <w:rStyle w:val="SpecialCharTok"/>
        </w:rPr>
        <w:t xml:space="preserve">~</w:t>
      </w:r>
      <w:r>
        <w:rPr>
          <w:rStyle w:val="NormalTok"/>
        </w:rPr>
        <w:t xml:space="preserve"> lake_factor,</w:t>
      </w:r>
      <w:r>
        <w:br/>
      </w:r>
      <w:r>
        <w:rPr>
          <w:rStyle w:val="NormalTok"/>
        </w:rPr>
        <w:t xml:space="preserve">  </w:t>
      </w:r>
      <w:r>
        <w:rPr>
          <w:rStyle w:val="AttributeTok"/>
        </w:rPr>
        <w:t xml:space="preserve">data =</w:t>
      </w:r>
      <w:r>
        <w:rPr>
          <w:rStyle w:val="NormalTok"/>
        </w:rPr>
        <w:t xml:space="preserve"> sculpin_df,</w:t>
      </w:r>
      <w:r>
        <w:br/>
      </w:r>
      <w:r>
        <w:rPr>
          <w:rStyle w:val="NormalTok"/>
        </w:rPr>
        <w:t xml:space="preserve">  </w:t>
      </w:r>
      <w:r>
        <w:rPr>
          <w:rStyle w:val="AttributeTok"/>
        </w:rPr>
        <w:t xml:space="preserve">distribution =</w:t>
      </w:r>
      <w:r>
        <w:rPr>
          <w:rStyle w:val="NormalTok"/>
        </w:rPr>
        <w:t xml:space="preserve"> </w:t>
      </w:r>
      <w:r>
        <w:rPr>
          <w:rStyle w:val="StringTok"/>
        </w:rPr>
        <w:t xml:space="preserve">"approximate"</w:t>
      </w:r>
      <w:r>
        <w:br/>
      </w:r>
      <w:r>
        <w:rPr>
          <w:rStyle w:val="NormalTok"/>
        </w:rPr>
        <w:t xml:space="preserve">)</w:t>
      </w:r>
      <w:r>
        <w:br/>
      </w:r>
      <w:r>
        <w:br/>
      </w:r>
      <w:r>
        <w:rPr>
          <w:rStyle w:val="CommentTok"/>
        </w:rPr>
        <w:t xml:space="preserve"># Extract the p-value</w:t>
      </w:r>
      <w:r>
        <w:br/>
      </w:r>
      <w:r>
        <w:rPr>
          <w:rStyle w:val="NormalTok"/>
        </w:rPr>
        <w:t xml:space="preserve">pvalue_coin </w:t>
      </w:r>
      <w:r>
        <w:rPr>
          <w:rStyle w:val="OtherTok"/>
        </w:rPr>
        <w:t xml:space="preserve">&lt;-</w:t>
      </w:r>
      <w:r>
        <w:rPr>
          <w:rStyle w:val="NormalTok"/>
        </w:rPr>
        <w:t xml:space="preserve"> </w:t>
      </w:r>
      <w:r>
        <w:rPr>
          <w:rStyle w:val="FunctionTok"/>
        </w:rPr>
        <w:t xml:space="preserve">pvalue</w:t>
      </w:r>
      <w:r>
        <w:rPr>
          <w:rStyle w:val="NormalTok"/>
        </w:rPr>
        <w:t xml:space="preserve">(coin_wilcox)</w:t>
      </w:r>
      <w:r>
        <w:br/>
      </w:r>
      <w:r>
        <w:br/>
      </w:r>
      <w:r>
        <w:rPr>
          <w:rStyle w:val="NormalTok"/>
        </w:rPr>
        <w:t xml:space="preserve">coin_wilcox</w:t>
      </w:r>
    </w:p>
    <w:p>
      <w:pPr>
        <w:pStyle w:val="SourceCode"/>
      </w:pPr>
      <w:r>
        <w:br/>
      </w:r>
      <w:r>
        <w:rPr>
          <w:rStyle w:val="VerbatimChar"/>
        </w:rPr>
        <w:t xml:space="preserve">    Approximative Wilcoxon-Mann-Whitney Test</w:t>
      </w:r>
      <w:r>
        <w:br/>
      </w:r>
      <w:r>
        <w:br/>
      </w:r>
      <w:r>
        <w:rPr>
          <w:rStyle w:val="VerbatimChar"/>
        </w:rPr>
        <w:t xml:space="preserve">data:  length_mm by lake_factor (NE 14, S 07)</w:t>
      </w:r>
      <w:r>
        <w:br/>
      </w:r>
      <w:r>
        <w:rPr>
          <w:rStyle w:val="VerbatimChar"/>
        </w:rPr>
        <w:t xml:space="preserve">Z = -3.0609, p-value = 0.0013</w:t>
      </w:r>
      <w:r>
        <w:br/>
      </w:r>
      <w:r>
        <w:rPr>
          <w:rStyle w:val="VerbatimChar"/>
        </w:rPr>
        <w:t xml:space="preserve">alternative hypothesis: true mu is not equal to 0</w:t>
      </w:r>
    </w:p>
    <w:bookmarkEnd w:id="30"/>
    <w:bookmarkStart w:id="31" w:name="calculating-effect-size"/>
    <w:p>
      <w:pPr>
        <w:pStyle w:val="Heading2"/>
      </w:pPr>
      <w:r>
        <w:t xml:space="preserve">Calculating Effect Size</w:t>
      </w:r>
    </w:p>
    <w:p>
      <w:pPr>
        <w:pStyle w:val="FirstParagraph"/>
      </w:pPr>
      <w:r>
        <w:t xml:space="preserve">The Mann-Whitney-Wilcoxon test tells us whether there’s a statistically significant difference, but it doesn’t indicate the magnitude of that difference. Let’s calculate an effect size measure:</w:t>
      </w:r>
    </w:p>
    <w:p>
      <w:pPr>
        <w:pStyle w:val="SourceCode"/>
      </w:pPr>
      <w:r>
        <w:rPr>
          <w:rStyle w:val="DocumentationTok"/>
        </w:rPr>
        <w:t xml:space="preserve">## Calculating Effect Size</w:t>
      </w:r>
      <w:r>
        <w:br/>
      </w:r>
      <w:r>
        <w:br/>
      </w:r>
      <w:r>
        <w:rPr>
          <w:rStyle w:val="CommentTok"/>
        </w:rPr>
        <w:t xml:space="preserve"># The Mann-Whitney-Wilcoxon test tells us whether there's a statistically significant difference, but it doesn't indicate the magnitude of that difference. Let's calculate an effect size measure:</w:t>
      </w:r>
      <w:r>
        <w:br/>
      </w:r>
      <w:r>
        <w:br/>
      </w:r>
      <w:r>
        <w:rPr>
          <w:rStyle w:val="CommentTok"/>
        </w:rPr>
        <w:t xml:space="preserve"># Calculate standardized effect size using rank-biserial correlation</w:t>
      </w:r>
      <w:r>
        <w:br/>
      </w:r>
      <w:r>
        <w:rPr>
          <w:rStyle w:val="CommentTok"/>
        </w:rPr>
        <w:t xml:space="preserve"># (equivalent to r = Z / sqrt(N))</w:t>
      </w:r>
      <w:r>
        <w:br/>
      </w:r>
      <w:r>
        <w:rPr>
          <w:rStyle w:val="NormalTok"/>
        </w:rPr>
        <w:t xml:space="preserve">z_score </w:t>
      </w:r>
      <w:r>
        <w:rPr>
          <w:rStyle w:val="OtherTok"/>
        </w:rPr>
        <w:t xml:space="preserve">&lt;-</w:t>
      </w:r>
      <w:r>
        <w:rPr>
          <w:rStyle w:val="NormalTok"/>
        </w:rPr>
        <w:t xml:space="preserve"> </w:t>
      </w:r>
      <w:r>
        <w:rPr>
          <w:rStyle w:val="FunctionTok"/>
        </w:rPr>
        <w:t xml:space="preserve">qnorm</w:t>
      </w:r>
      <w:r>
        <w:rPr>
          <w:rStyle w:val="NormalTok"/>
        </w:rPr>
        <w:t xml:space="preserve">(p_value</w:t>
      </w:r>
      <w:r>
        <w:rPr>
          <w:rStyle w:val="SpecialCharTok"/>
        </w:rPr>
        <w:t xml:space="preserve">/</w:t>
      </w:r>
      <w:r>
        <w:rPr>
          <w:rStyle w:val="DecValTok"/>
        </w:rPr>
        <w:t xml:space="preserve">2</w:t>
      </w:r>
      <w:r>
        <w:rPr>
          <w:rStyle w:val="NormalTok"/>
        </w:rPr>
        <w:t xml:space="preserve">)  </w:t>
      </w:r>
      <w:r>
        <w:rPr>
          <w:rStyle w:val="CommentTok"/>
        </w:rPr>
        <w:t xml:space="preserve"># Convert p-value to Z-score</w:t>
      </w:r>
      <w:r>
        <w:br/>
      </w:r>
      <w:r>
        <w:rPr>
          <w:rStyle w:val="NormalTok"/>
        </w:rPr>
        <w:t xml:space="preserve">N </w:t>
      </w:r>
      <w:r>
        <w:rPr>
          <w:rStyle w:val="OtherTok"/>
        </w:rPr>
        <w:t xml:space="preserve">&lt;-</w:t>
      </w:r>
      <w:r>
        <w:rPr>
          <w:rStyle w:val="NormalTok"/>
        </w:rPr>
        <w:t xml:space="preserve"> </w:t>
      </w:r>
      <w:r>
        <w:rPr>
          <w:rStyle w:val="FunctionTok"/>
        </w:rPr>
        <w:t xml:space="preserve">nrow</w:t>
      </w:r>
      <w:r>
        <w:rPr>
          <w:rStyle w:val="NormalTok"/>
        </w:rPr>
        <w:t xml:space="preserve">(sculpin_df)</w:t>
      </w:r>
      <w:r>
        <w:br/>
      </w:r>
      <w:r>
        <w:rPr>
          <w:rStyle w:val="NormalTok"/>
        </w:rPr>
        <w:t xml:space="preserve">r </w:t>
      </w:r>
      <w:r>
        <w:rPr>
          <w:rStyle w:val="OtherTok"/>
        </w:rPr>
        <w:t xml:space="preserve">&lt;-</w:t>
      </w:r>
      <w:r>
        <w:rPr>
          <w:rStyle w:val="NormalTok"/>
        </w:rPr>
        <w:t xml:space="preserve"> </w:t>
      </w:r>
      <w:r>
        <w:rPr>
          <w:rStyle w:val="FunctionTok"/>
        </w:rPr>
        <w:t xml:space="preserve">abs</w:t>
      </w:r>
      <w:r>
        <w:rPr>
          <w:rStyle w:val="NormalTok"/>
        </w:rPr>
        <w:t xml:space="preserve">(z_score) </w:t>
      </w:r>
      <w:r>
        <w:rPr>
          <w:rStyle w:val="SpecialCharTok"/>
        </w:rPr>
        <w:t xml:space="preserve">/</w:t>
      </w:r>
      <w:r>
        <w:rPr>
          <w:rStyle w:val="NormalTok"/>
        </w:rPr>
        <w:t xml:space="preserve"> </w:t>
      </w:r>
      <w:r>
        <w:rPr>
          <w:rStyle w:val="FunctionTok"/>
        </w:rPr>
        <w:t xml:space="preserve">sqrt</w:t>
      </w:r>
      <w:r>
        <w:rPr>
          <w:rStyle w:val="NormalTok"/>
        </w:rPr>
        <w:t xml:space="preserve">(N)  </w:t>
      </w:r>
      <w:r>
        <w:rPr>
          <w:rStyle w:val="CommentTok"/>
        </w:rPr>
        <w:t xml:space="preserve"># Rank-biserial correlation</w:t>
      </w:r>
      <w:r>
        <w:br/>
      </w:r>
      <w:r>
        <w:br/>
      </w:r>
      <w:r>
        <w:br/>
      </w:r>
      <w:r>
        <w:br/>
      </w:r>
      <w:r>
        <w:rPr>
          <w:rStyle w:val="CommentTok"/>
        </w:rPr>
        <w:t xml:space="preserve"># Interpret effect size</w:t>
      </w:r>
      <w:r>
        <w:br/>
      </w:r>
      <w:r>
        <w:rPr>
          <w:rStyle w:val="NormalTok"/>
        </w:rPr>
        <w:t xml:space="preserve">effect_size </w:t>
      </w:r>
      <w:r>
        <w:rPr>
          <w:rStyle w:val="OtherTok"/>
        </w:rPr>
        <w:t xml:space="preserve">&lt;-</w:t>
      </w:r>
      <w:r>
        <w:rPr>
          <w:rStyle w:val="NormalTok"/>
        </w:rPr>
        <w:t xml:space="preserve"> r</w:t>
      </w:r>
      <w:r>
        <w:br/>
      </w:r>
      <w:r>
        <w:rPr>
          <w:rStyle w:val="ControlFlowTok"/>
        </w:rPr>
        <w:t xml:space="preserve">if</w:t>
      </w:r>
      <w:r>
        <w:rPr>
          <w:rStyle w:val="NormalTok"/>
        </w:rPr>
        <w:t xml:space="preserve">(effect_size </w:t>
      </w:r>
      <w:r>
        <w:rPr>
          <w:rStyle w:val="SpecialCharTok"/>
        </w:rPr>
        <w:t xml:space="preserve">&lt;</w:t>
      </w:r>
      <w:r>
        <w:rPr>
          <w:rStyle w:val="NormalTok"/>
        </w:rPr>
        <w:t xml:space="preserve"> </w:t>
      </w:r>
      <w:r>
        <w:rPr>
          <w:rStyle w:val="FloatTok"/>
        </w:rPr>
        <w:t xml:space="preserve">0.1</w:t>
      </w:r>
      <w:r>
        <w:rPr>
          <w:rStyle w:val="NormalTok"/>
        </w:rPr>
        <w:t xml:space="preserve">) {</w:t>
      </w:r>
      <w:r>
        <w:br/>
      </w:r>
      <w:r>
        <w:rPr>
          <w:rStyle w:val="NormalTok"/>
        </w:rPr>
        <w:t xml:space="preserve">  effect_interpretation </w:t>
      </w:r>
      <w:r>
        <w:rPr>
          <w:rStyle w:val="OtherTok"/>
        </w:rPr>
        <w:t xml:space="preserve">&lt;-</w:t>
      </w:r>
      <w:r>
        <w:rPr>
          <w:rStyle w:val="NormalTok"/>
        </w:rPr>
        <w:t xml:space="preserve"> </w:t>
      </w:r>
      <w:r>
        <w:rPr>
          <w:rStyle w:val="StringTok"/>
        </w:rPr>
        <w:t xml:space="preserve">"negligible effect"</w:t>
      </w:r>
      <w:r>
        <w:br/>
      </w:r>
      <w:r>
        <w:rPr>
          <w:rStyle w:val="NormalTok"/>
        </w:rPr>
        <w:t xml:space="preserve">} </w:t>
      </w:r>
      <w:r>
        <w:rPr>
          <w:rStyle w:val="ControlFlowTok"/>
        </w:rPr>
        <w:t xml:space="preserve">else</w:t>
      </w:r>
      <w:r>
        <w:rPr>
          <w:rStyle w:val="NormalTok"/>
        </w:rPr>
        <w:t xml:space="preserve"> </w:t>
      </w:r>
      <w:r>
        <w:rPr>
          <w:rStyle w:val="ControlFlowTok"/>
        </w:rPr>
        <w:t xml:space="preserve">if</w:t>
      </w:r>
      <w:r>
        <w:rPr>
          <w:rStyle w:val="NormalTok"/>
        </w:rPr>
        <w:t xml:space="preserve">(effect_size </w:t>
      </w:r>
      <w:r>
        <w:rPr>
          <w:rStyle w:val="SpecialCharTok"/>
        </w:rPr>
        <w:t xml:space="preserve">&lt;</w:t>
      </w:r>
      <w:r>
        <w:rPr>
          <w:rStyle w:val="NormalTok"/>
        </w:rPr>
        <w:t xml:space="preserve"> </w:t>
      </w:r>
      <w:r>
        <w:rPr>
          <w:rStyle w:val="FloatTok"/>
        </w:rPr>
        <w:t xml:space="preserve">0.3</w:t>
      </w:r>
      <w:r>
        <w:rPr>
          <w:rStyle w:val="NormalTok"/>
        </w:rPr>
        <w:t xml:space="preserve">) {</w:t>
      </w:r>
      <w:r>
        <w:br/>
      </w:r>
      <w:r>
        <w:rPr>
          <w:rStyle w:val="NormalTok"/>
        </w:rPr>
        <w:t xml:space="preserve">  effect_interpretation </w:t>
      </w:r>
      <w:r>
        <w:rPr>
          <w:rStyle w:val="OtherTok"/>
        </w:rPr>
        <w:t xml:space="preserve">&lt;-</w:t>
      </w:r>
      <w:r>
        <w:rPr>
          <w:rStyle w:val="NormalTok"/>
        </w:rPr>
        <w:t xml:space="preserve"> </w:t>
      </w:r>
      <w:r>
        <w:rPr>
          <w:rStyle w:val="StringTok"/>
        </w:rPr>
        <w:t xml:space="preserve">"small effect"</w:t>
      </w:r>
      <w:r>
        <w:br/>
      </w:r>
      <w:r>
        <w:rPr>
          <w:rStyle w:val="NormalTok"/>
        </w:rPr>
        <w:t xml:space="preserve">} </w:t>
      </w:r>
      <w:r>
        <w:rPr>
          <w:rStyle w:val="ControlFlowTok"/>
        </w:rPr>
        <w:t xml:space="preserve">else</w:t>
      </w:r>
      <w:r>
        <w:rPr>
          <w:rStyle w:val="NormalTok"/>
        </w:rPr>
        <w:t xml:space="preserve"> </w:t>
      </w:r>
      <w:r>
        <w:rPr>
          <w:rStyle w:val="ControlFlowTok"/>
        </w:rPr>
        <w:t xml:space="preserve">if</w:t>
      </w:r>
      <w:r>
        <w:rPr>
          <w:rStyle w:val="NormalTok"/>
        </w:rPr>
        <w:t xml:space="preserve">(effect_size </w:t>
      </w:r>
      <w:r>
        <w:rPr>
          <w:rStyle w:val="SpecialCharTok"/>
        </w:rPr>
        <w:t xml:space="preserve">&lt;</w:t>
      </w:r>
      <w:r>
        <w:rPr>
          <w:rStyle w:val="NormalTok"/>
        </w:rPr>
        <w:t xml:space="preserve"> </w:t>
      </w:r>
      <w:r>
        <w:rPr>
          <w:rStyle w:val="FloatTok"/>
        </w:rPr>
        <w:t xml:space="preserve">0.5</w:t>
      </w:r>
      <w:r>
        <w:rPr>
          <w:rStyle w:val="NormalTok"/>
        </w:rPr>
        <w:t xml:space="preserve">) {</w:t>
      </w:r>
      <w:r>
        <w:br/>
      </w:r>
      <w:r>
        <w:rPr>
          <w:rStyle w:val="NormalTok"/>
        </w:rPr>
        <w:t xml:space="preserve">  effect_interpretation </w:t>
      </w:r>
      <w:r>
        <w:rPr>
          <w:rStyle w:val="OtherTok"/>
        </w:rPr>
        <w:t xml:space="preserve">&lt;-</w:t>
      </w:r>
      <w:r>
        <w:rPr>
          <w:rStyle w:val="NormalTok"/>
        </w:rPr>
        <w:t xml:space="preserve"> </w:t>
      </w:r>
      <w:r>
        <w:rPr>
          <w:rStyle w:val="StringTok"/>
        </w:rPr>
        <w:t xml:space="preserve">"moderate effect"</w:t>
      </w:r>
      <w:r>
        <w:br/>
      </w:r>
      <w:r>
        <w:rPr>
          <w:rStyle w:val="NormalTok"/>
        </w:rPr>
        <w:t xml:space="preserve">} </w:t>
      </w:r>
      <w:r>
        <w:rPr>
          <w:rStyle w:val="ControlFlowTok"/>
        </w:rPr>
        <w:t xml:space="preserve">else</w:t>
      </w:r>
      <w:r>
        <w:rPr>
          <w:rStyle w:val="NormalTok"/>
        </w:rPr>
        <w:t xml:space="preserve"> </w:t>
      </w:r>
      <w:r>
        <w:rPr>
          <w:rStyle w:val="ControlFlowTok"/>
        </w:rPr>
        <w:t xml:space="preserve">if</w:t>
      </w:r>
      <w:r>
        <w:rPr>
          <w:rStyle w:val="NormalTok"/>
        </w:rPr>
        <w:t xml:space="preserve">(effect_size </w:t>
      </w:r>
      <w:r>
        <w:rPr>
          <w:rStyle w:val="SpecialCharTok"/>
        </w:rPr>
        <w:t xml:space="preserve">&lt;</w:t>
      </w:r>
      <w:r>
        <w:rPr>
          <w:rStyle w:val="NormalTok"/>
        </w:rPr>
        <w:t xml:space="preserve"> </w:t>
      </w:r>
      <w:r>
        <w:rPr>
          <w:rStyle w:val="FloatTok"/>
        </w:rPr>
        <w:t xml:space="preserve">0.7</w:t>
      </w:r>
      <w:r>
        <w:rPr>
          <w:rStyle w:val="NormalTok"/>
        </w:rPr>
        <w:t xml:space="preserve">) {</w:t>
      </w:r>
      <w:r>
        <w:br/>
      </w:r>
      <w:r>
        <w:rPr>
          <w:rStyle w:val="NormalTok"/>
        </w:rPr>
        <w:t xml:space="preserve">  effect_interpretation </w:t>
      </w:r>
      <w:r>
        <w:rPr>
          <w:rStyle w:val="OtherTok"/>
        </w:rPr>
        <w:t xml:space="preserve">&lt;-</w:t>
      </w:r>
      <w:r>
        <w:rPr>
          <w:rStyle w:val="NormalTok"/>
        </w:rPr>
        <w:t xml:space="preserve"> </w:t>
      </w:r>
      <w:r>
        <w:rPr>
          <w:rStyle w:val="StringTok"/>
        </w:rPr>
        <w:t xml:space="preserve">"large effect"</w:t>
      </w:r>
      <w:r>
        <w:br/>
      </w:r>
      <w:r>
        <w:rPr>
          <w:rStyle w:val="NormalTok"/>
        </w:rPr>
        <w:t xml:space="preserve">} </w:t>
      </w:r>
      <w:r>
        <w:rPr>
          <w:rStyle w:val="ControlFlowTok"/>
        </w:rPr>
        <w:t xml:space="preserve">else</w:t>
      </w:r>
      <w:r>
        <w:rPr>
          <w:rStyle w:val="NormalTok"/>
        </w:rPr>
        <w:t xml:space="preserve"> {</w:t>
      </w:r>
      <w:r>
        <w:br/>
      </w:r>
      <w:r>
        <w:rPr>
          <w:rStyle w:val="NormalTok"/>
        </w:rPr>
        <w:t xml:space="preserve">  effect_interpretation </w:t>
      </w:r>
      <w:r>
        <w:rPr>
          <w:rStyle w:val="OtherTok"/>
        </w:rPr>
        <w:t xml:space="preserve">&lt;-</w:t>
      </w:r>
      <w:r>
        <w:rPr>
          <w:rStyle w:val="NormalTok"/>
        </w:rPr>
        <w:t xml:space="preserve"> </w:t>
      </w:r>
      <w:r>
        <w:rPr>
          <w:rStyle w:val="StringTok"/>
        </w:rPr>
        <w:t xml:space="preserve">"very large effect"</w:t>
      </w:r>
      <w:r>
        <w:br/>
      </w:r>
      <w:r>
        <w:rPr>
          <w:rStyle w:val="NormalTok"/>
        </w:rPr>
        <w:t xml:space="preserve">}</w:t>
      </w:r>
      <w:r>
        <w:br/>
      </w:r>
      <w:r>
        <w:br/>
      </w:r>
      <w:r>
        <w:rPr>
          <w:rStyle w:val="FunctionTok"/>
        </w:rPr>
        <w:t xml:space="preserve">cat</w:t>
      </w:r>
      <w:r>
        <w:rPr>
          <w:rStyle w:val="NormalTok"/>
        </w:rPr>
        <w:t xml:space="preserve">(</w:t>
      </w:r>
      <w:r>
        <w:rPr>
          <w:rStyle w:val="StringTok"/>
        </w:rPr>
        <w:t xml:space="preserve">"Effect size (rank-biserial correlation):"</w:t>
      </w:r>
      <w:r>
        <w:rPr>
          <w:rStyle w:val="NormalTok"/>
        </w:rPr>
        <w:t xml:space="preserve">)</w:t>
      </w:r>
    </w:p>
    <w:p>
      <w:pPr>
        <w:pStyle w:val="SourceCode"/>
      </w:pPr>
      <w:r>
        <w:rPr>
          <w:rStyle w:val="VerbatimChar"/>
        </w:rPr>
        <w:t xml:space="preserve">Effect size (rank-biserial correlation):</w:t>
      </w:r>
    </w:p>
    <w:p>
      <w:pPr>
        <w:pStyle w:val="SourceCode"/>
      </w:pPr>
      <w:r>
        <w:rPr>
          <w:rStyle w:val="FunctionTok"/>
        </w:rPr>
        <w:t xml:space="preserve">round</w:t>
      </w:r>
      <w:r>
        <w:rPr>
          <w:rStyle w:val="NormalTok"/>
        </w:rPr>
        <w:t xml:space="preserve">(r, </w:t>
      </w:r>
      <w:r>
        <w:rPr>
          <w:rStyle w:val="DecValTok"/>
        </w:rPr>
        <w:t xml:space="preserve">3</w:t>
      </w:r>
      <w:r>
        <w:rPr>
          <w:rStyle w:val="NormalTok"/>
        </w:rPr>
        <w:t xml:space="preserve">)</w:t>
      </w:r>
    </w:p>
    <w:p>
      <w:pPr>
        <w:pStyle w:val="SourceCode"/>
      </w:pPr>
      <w:r>
        <w:rPr>
          <w:rStyle w:val="VerbatimChar"/>
        </w:rPr>
        <w:t xml:space="preserve">[1] 0.292</w:t>
      </w:r>
    </w:p>
    <w:p>
      <w:pPr>
        <w:pStyle w:val="SourceCode"/>
      </w:pPr>
      <w:r>
        <w:rPr>
          <w:rStyle w:val="FunctionTok"/>
        </w:rPr>
        <w:t xml:space="preserve">cat</w:t>
      </w:r>
      <w:r>
        <w:rPr>
          <w:rStyle w:val="NormalTok"/>
        </w:rPr>
        <w:t xml:space="preserve">(</w:t>
      </w:r>
      <w:r>
        <w:rPr>
          <w:rStyle w:val="StringTok"/>
        </w:rPr>
        <w:t xml:space="preserve">"This represents a:"</w:t>
      </w:r>
      <w:r>
        <w:rPr>
          <w:rStyle w:val="NormalTok"/>
        </w:rPr>
        <w:t xml:space="preserve">)</w:t>
      </w:r>
    </w:p>
    <w:p>
      <w:pPr>
        <w:pStyle w:val="SourceCode"/>
      </w:pPr>
      <w:r>
        <w:rPr>
          <w:rStyle w:val="VerbatimChar"/>
        </w:rPr>
        <w:t xml:space="preserve">This represents a:</w:t>
      </w:r>
    </w:p>
    <w:p>
      <w:pPr>
        <w:pStyle w:val="SourceCode"/>
      </w:pPr>
      <w:r>
        <w:rPr>
          <w:rStyle w:val="NormalTok"/>
        </w:rPr>
        <w:t xml:space="preserve">effect_interpretation </w:t>
      </w:r>
    </w:p>
    <w:p>
      <w:pPr>
        <w:pStyle w:val="SourceCode"/>
      </w:pPr>
      <w:r>
        <w:rPr>
          <w:rStyle w:val="VerbatimChar"/>
        </w:rPr>
        <w:t xml:space="preserve">[1] "small effect"</w:t>
      </w:r>
    </w:p>
    <w:bookmarkEnd w:id="31"/>
    <w:bookmarkEnd w:id="32"/>
    <w:bookmarkStart w:id="38" w:name="X169dd5d1c9569a40f57ac5af884fd848c1d797f"/>
    <w:p>
      <w:pPr>
        <w:pStyle w:val="Heading1"/>
      </w:pPr>
      <w:r>
        <w:t xml:space="preserve">Median and Interquartile Range (IQR) Plot with Test Results</w:t>
      </w:r>
    </w:p>
    <w:p>
      <w:pPr>
        <w:pStyle w:val="FirstParagraph"/>
      </w:pPr>
      <w:r>
        <w:t xml:space="preserve">Since the Mann-Whitney-Wilcoxon test is primarily concerned with medians rather than means, let’s create a plot showing the median and IQR for each lake:</w:t>
      </w:r>
    </w:p>
    <w:p>
      <w:pPr>
        <w:pStyle w:val="SourceCode"/>
      </w:pPr>
      <w:r>
        <w:rPr>
          <w:rStyle w:val="CommentTok"/>
        </w:rPr>
        <w:t xml:space="preserve"># Create median and IQR plot with data points</w:t>
      </w:r>
      <w:r>
        <w:br/>
      </w:r>
      <w:r>
        <w:rPr>
          <w:rStyle w:val="FunctionTok"/>
        </w:rPr>
        <w:t xml:space="preserve">ggplot</w:t>
      </w:r>
      <w:r>
        <w:rPr>
          <w:rStyle w:val="NormalTok"/>
        </w:rPr>
        <w:t xml:space="preserve">() </w:t>
      </w:r>
      <w:r>
        <w:rPr>
          <w:rStyle w:val="SpecialCharTok"/>
        </w:rPr>
        <w:t xml:space="preserve">+</w:t>
      </w:r>
      <w:r>
        <w:br/>
      </w:r>
      <w:r>
        <w:rPr>
          <w:rStyle w:val="NormalTok"/>
        </w:rPr>
        <w:t xml:space="preserve">  </w:t>
      </w:r>
      <w:r>
        <w:rPr>
          <w:rStyle w:val="CommentTok"/>
        </w:rPr>
        <w:t xml:space="preserve"># Add individual data points in the background</w:t>
      </w:r>
      <w:r>
        <w:br/>
      </w:r>
      <w:r>
        <w:rPr>
          <w:rStyle w:val="NormalTok"/>
        </w:rPr>
        <w:t xml:space="preserve">  </w:t>
      </w:r>
      <w:r>
        <w:rPr>
          <w:rStyle w:val="FunctionTok"/>
        </w:rPr>
        <w:t xml:space="preserve">geom_point</w:t>
      </w:r>
      <w:r>
        <w:rPr>
          <w:rStyle w:val="NormalTok"/>
        </w:rPr>
        <w:t xml:space="preserve">(</w:t>
      </w:r>
      <w:r>
        <w:rPr>
          <w:rStyle w:val="AttributeTok"/>
        </w:rPr>
        <w:t xml:space="preserve">data =</w:t>
      </w:r>
      <w:r>
        <w:rPr>
          <w:rStyle w:val="NormalTok"/>
        </w:rPr>
        <w:t xml:space="preserve"> sculpin_df, </w:t>
      </w:r>
      <w:r>
        <w:br/>
      </w:r>
      <w:r>
        <w:rPr>
          <w:rStyle w:val="NormalTok"/>
        </w:rPr>
        <w:t xml:space="preserve">             </w:t>
      </w:r>
      <w:r>
        <w:rPr>
          <w:rStyle w:val="FunctionTok"/>
        </w:rPr>
        <w:t xml:space="preserve">aes</w:t>
      </w:r>
      <w:r>
        <w:rPr>
          <w:rStyle w:val="NormalTok"/>
        </w:rPr>
        <w:t xml:space="preserve">(</w:t>
      </w:r>
      <w:r>
        <w:rPr>
          <w:rStyle w:val="AttributeTok"/>
        </w:rPr>
        <w:t xml:space="preserve">x =</w:t>
      </w:r>
      <w:r>
        <w:rPr>
          <w:rStyle w:val="NormalTok"/>
        </w:rPr>
        <w:t xml:space="preserve"> lake, </w:t>
      </w:r>
      <w:r>
        <w:rPr>
          <w:rStyle w:val="AttributeTok"/>
        </w:rPr>
        <w:t xml:space="preserve">y =</w:t>
      </w:r>
      <w:r>
        <w:rPr>
          <w:rStyle w:val="NormalTok"/>
        </w:rPr>
        <w:t xml:space="preserve"> length_mm, </w:t>
      </w:r>
      <w:r>
        <w:rPr>
          <w:rStyle w:val="AttributeTok"/>
        </w:rPr>
        <w:t xml:space="preserve">color =</w:t>
      </w:r>
      <w:r>
        <w:rPr>
          <w:rStyle w:val="NormalTok"/>
        </w:rPr>
        <w:t xml:space="preserve"> lake),</w:t>
      </w:r>
      <w:r>
        <w:br/>
      </w:r>
      <w:r>
        <w:rPr>
          <w:rStyle w:val="NormalTok"/>
        </w:rPr>
        <w:t xml:space="preserve">             </w:t>
      </w:r>
      <w:r>
        <w:rPr>
          <w:rStyle w:val="AttributeTok"/>
        </w:rPr>
        <w:t xml:space="preserve">position =</w:t>
      </w:r>
      <w:r>
        <w:rPr>
          <w:rStyle w:val="NormalTok"/>
        </w:rPr>
        <w:t xml:space="preserve"> </w:t>
      </w:r>
      <w:r>
        <w:rPr>
          <w:rStyle w:val="FunctionTok"/>
        </w:rPr>
        <w:t xml:space="preserve">position_dodge2</w:t>
      </w:r>
      <w:r>
        <w:rPr>
          <w:rStyle w:val="NormalTok"/>
        </w:rPr>
        <w:t xml:space="preserve">(</w:t>
      </w:r>
      <w:r>
        <w:rPr>
          <w:rStyle w:val="AttributeTok"/>
        </w:rPr>
        <w:t xml:space="preserve">width =</w:t>
      </w:r>
      <w:r>
        <w:rPr>
          <w:rStyle w:val="NormalTok"/>
        </w:rPr>
        <w:t xml:space="preserve"> </w:t>
      </w:r>
      <w:r>
        <w:rPr>
          <w:rStyle w:val="FloatTok"/>
        </w:rPr>
        <w:t xml:space="preserve">0.3</w:t>
      </w:r>
      <w:r>
        <w:rPr>
          <w:rStyle w:val="NormalTok"/>
        </w:rPr>
        <w:t xml:space="preserve">), </w:t>
      </w:r>
      <w:r>
        <w:br/>
      </w:r>
      <w:r>
        <w:rPr>
          <w:rStyle w:val="NormalTok"/>
        </w:rPr>
        <w:t xml:space="preserve">             </w:t>
      </w:r>
      <w:r>
        <w:rPr>
          <w:rStyle w:val="AttributeTok"/>
        </w:rPr>
        <w:t xml:space="preserve">alpha =</w:t>
      </w:r>
      <w:r>
        <w:rPr>
          <w:rStyle w:val="NormalTok"/>
        </w:rPr>
        <w:t xml:space="preserve"> </w:t>
      </w:r>
      <w:r>
        <w:rPr>
          <w:rStyle w:val="FloatTok"/>
        </w:rPr>
        <w:t xml:space="preserve">0.5</w:t>
      </w:r>
      <w:r>
        <w:rPr>
          <w:rStyle w:val="NormalTok"/>
        </w:rPr>
        <w:t xml:space="preserve">, </w:t>
      </w:r>
      <w:r>
        <w:rPr>
          <w:rStyle w:val="AttributeTok"/>
        </w:rPr>
        <w:t xml:space="preserve">size =</w:t>
      </w:r>
      <w:r>
        <w:rPr>
          <w:rStyle w:val="NormalTok"/>
        </w:rPr>
        <w:t xml:space="preserve"> </w:t>
      </w:r>
      <w:r>
        <w:rPr>
          <w:rStyle w:val="FloatTok"/>
        </w:rPr>
        <w:t xml:space="preserve">1.5</w:t>
      </w:r>
      <w:r>
        <w:rPr>
          <w:rStyle w:val="NormalTok"/>
        </w:rPr>
        <w:t xml:space="preserve">) </w:t>
      </w:r>
      <w:r>
        <w:rPr>
          <w:rStyle w:val="SpecialCharTok"/>
        </w:rPr>
        <w:t xml:space="preserve">+</w:t>
      </w:r>
      <w:r>
        <w:br/>
      </w:r>
      <w:r>
        <w:rPr>
          <w:rStyle w:val="NormalTok"/>
        </w:rPr>
        <w:t xml:space="preserve">  </w:t>
      </w:r>
      <w:r>
        <w:rPr>
          <w:rStyle w:val="CommentTok"/>
        </w:rPr>
        <w:t xml:space="preserve"># Add boxplot without outliers</w:t>
      </w:r>
      <w:r>
        <w:br/>
      </w:r>
      <w:r>
        <w:rPr>
          <w:rStyle w:val="NormalTok"/>
        </w:rPr>
        <w:t xml:space="preserve">  </w:t>
      </w:r>
      <w:r>
        <w:rPr>
          <w:rStyle w:val="FunctionTok"/>
        </w:rPr>
        <w:t xml:space="preserve">geom_boxplot</w:t>
      </w:r>
      <w:r>
        <w:rPr>
          <w:rStyle w:val="NormalTok"/>
        </w:rPr>
        <w:t xml:space="preserve">(</w:t>
      </w:r>
      <w:r>
        <w:rPr>
          <w:rStyle w:val="AttributeTok"/>
        </w:rPr>
        <w:t xml:space="preserve">data =</w:t>
      </w:r>
      <w:r>
        <w:rPr>
          <w:rStyle w:val="NormalTok"/>
        </w:rPr>
        <w:t xml:space="preserve"> sculpin_df,</w:t>
      </w:r>
      <w:r>
        <w:br/>
      </w:r>
      <w:r>
        <w:rPr>
          <w:rStyle w:val="NormalTok"/>
        </w:rPr>
        <w:t xml:space="preserve">               </w:t>
      </w:r>
      <w:r>
        <w:rPr>
          <w:rStyle w:val="FunctionTok"/>
        </w:rPr>
        <w:t xml:space="preserve">aes</w:t>
      </w:r>
      <w:r>
        <w:rPr>
          <w:rStyle w:val="NormalTok"/>
        </w:rPr>
        <w:t xml:space="preserve">(</w:t>
      </w:r>
      <w:r>
        <w:rPr>
          <w:rStyle w:val="AttributeTok"/>
        </w:rPr>
        <w:t xml:space="preserve">x =</w:t>
      </w:r>
      <w:r>
        <w:rPr>
          <w:rStyle w:val="NormalTok"/>
        </w:rPr>
        <w:t xml:space="preserve"> lake, </w:t>
      </w:r>
      <w:r>
        <w:rPr>
          <w:rStyle w:val="AttributeTok"/>
        </w:rPr>
        <w:t xml:space="preserve">y =</w:t>
      </w:r>
      <w:r>
        <w:rPr>
          <w:rStyle w:val="NormalTok"/>
        </w:rPr>
        <w:t xml:space="preserve"> length_mm, </w:t>
      </w:r>
      <w:r>
        <w:rPr>
          <w:rStyle w:val="AttributeTok"/>
        </w:rPr>
        <w:t xml:space="preserve">fill =</w:t>
      </w:r>
      <w:r>
        <w:rPr>
          <w:rStyle w:val="NormalTok"/>
        </w:rPr>
        <w:t xml:space="preserve"> lake),</w:t>
      </w:r>
      <w:r>
        <w:br/>
      </w:r>
      <w:r>
        <w:rPr>
          <w:rStyle w:val="NormalTok"/>
        </w:rPr>
        <w:t xml:space="preserve">               </w:t>
      </w:r>
      <w:r>
        <w:rPr>
          <w:rStyle w:val="AttributeTok"/>
        </w:rPr>
        <w:t xml:space="preserve">alpha =</w:t>
      </w:r>
      <w:r>
        <w:rPr>
          <w:rStyle w:val="NormalTok"/>
        </w:rPr>
        <w:t xml:space="preserve"> </w:t>
      </w:r>
      <w:r>
        <w:rPr>
          <w:rStyle w:val="FloatTok"/>
        </w:rPr>
        <w:t xml:space="preserve">0.7</w:t>
      </w:r>
      <w:r>
        <w:rPr>
          <w:rStyle w:val="NormalTok"/>
        </w:rPr>
        <w:t xml:space="preserve">, </w:t>
      </w:r>
      <w:r>
        <w:rPr>
          <w:rStyle w:val="AttributeTok"/>
        </w:rPr>
        <w:t xml:space="preserve">outlier.shape =</w:t>
      </w:r>
      <w:r>
        <w:rPr>
          <w:rStyle w:val="NormalTok"/>
        </w:rPr>
        <w:t xml:space="preserve"> </w:t>
      </w:r>
      <w:r>
        <w:rPr>
          <w:rStyle w:val="ConstantTok"/>
        </w:rPr>
        <w:t xml:space="preserve">NA</w:t>
      </w:r>
      <w:r>
        <w:rPr>
          <w:rStyle w:val="NormalTok"/>
        </w:rPr>
        <w:t xml:space="preserve">, </w:t>
      </w:r>
      <w:r>
        <w:rPr>
          <w:rStyle w:val="AttributeTok"/>
        </w:rPr>
        <w:t xml:space="preserve">width =</w:t>
      </w:r>
      <w:r>
        <w:rPr>
          <w:rStyle w:val="NormalTok"/>
        </w:rPr>
        <w:t xml:space="preserve"> </w:t>
      </w:r>
      <w:r>
        <w:rPr>
          <w:rStyle w:val="FloatTok"/>
        </w:rPr>
        <w:t xml:space="preserve">0.5</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"Lake"</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"Total Length (mm)"</w:t>
      </w:r>
      <w:r>
        <w:rPr>
          <w:rStyle w:val="NormalTok"/>
        </w:rPr>
        <w:t xml:space="preserve">,</w:t>
      </w:r>
      <w:r>
        <w:br/>
      </w:r>
      <w:r>
        <w:rPr>
          <w:rStyle w:val="NormalTok"/>
        </w:rPr>
        <w:t xml:space="preserve">    </w:t>
      </w:r>
      <w:r>
        <w:rPr>
          <w:rStyle w:val="AttributeTok"/>
        </w:rPr>
        <w:t xml:space="preserve">fill =</w:t>
      </w:r>
      <w:r>
        <w:rPr>
          <w:rStyle w:val="NormalTok"/>
        </w:rPr>
        <w:t xml:space="preserve"> </w:t>
      </w:r>
      <w:r>
        <w:rPr>
          <w:rStyle w:val="StringTok"/>
        </w:rPr>
        <w:t xml:space="preserve">"Lake"</w:t>
      </w:r>
      <w:r>
        <w:rPr>
          <w:rStyle w:val="NormalTok"/>
        </w:rPr>
        <w:t xml:space="preserve">,</w:t>
      </w:r>
      <w:r>
        <w:br/>
      </w:r>
      <w:r>
        <w:rPr>
          <w:rStyle w:val="NormalTok"/>
        </w:rPr>
        <w:t xml:space="preserve">    </w:t>
      </w:r>
      <w:r>
        <w:rPr>
          <w:rStyle w:val="AttributeTok"/>
        </w:rPr>
        <w:t xml:space="preserve">color =</w:t>
      </w:r>
      <w:r>
        <w:rPr>
          <w:rStyle w:val="NormalTok"/>
        </w:rPr>
        <w:t xml:space="preserve"> </w:t>
      </w:r>
      <w:r>
        <w:rPr>
          <w:rStyle w:val="StringTok"/>
        </w:rPr>
        <w:t xml:space="preserve">"Lake"</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br/>
      </w:r>
      <w:r>
        <w:rPr>
          <w:rStyle w:val="NormalTok"/>
        </w:rPr>
        <w:t xml:space="preserve">    </w:t>
      </w:r>
      <w:r>
        <w:rPr>
          <w:rStyle w:val="AttributeTok"/>
        </w:rPr>
        <w:t xml:space="preserve">plot.title =</w:t>
      </w:r>
      <w:r>
        <w:rPr>
          <w:rStyle w:val="NormalTok"/>
        </w:rPr>
        <w:t xml:space="preserve"> </w:t>
      </w:r>
      <w:r>
        <w:rPr>
          <w:rStyle w:val="FunctionTok"/>
        </w:rPr>
        <w:t xml:space="preserve">element_text</w:t>
      </w:r>
      <w:r>
        <w:rPr>
          <w:rStyle w:val="NormalTok"/>
        </w:rPr>
        <w:t xml:space="preserve">(</w:t>
      </w:r>
      <w:r>
        <w:rPr>
          <w:rStyle w:val="AttributeTok"/>
        </w:rPr>
        <w:t xml:space="preserve">hjust =</w:t>
      </w:r>
      <w:r>
        <w:rPr>
          <w:rStyle w:val="NormalTok"/>
        </w:rPr>
        <w:t xml:space="preserve"> </w:t>
      </w:r>
      <w:r>
        <w:rPr>
          <w:rStyle w:val="FloatTok"/>
        </w:rPr>
        <w:t xml:space="preserve">0.5</w:t>
      </w:r>
      <w:r>
        <w:rPr>
          <w:rStyle w:val="NormalTok"/>
        </w:rPr>
        <w:t xml:space="preserve">, </w:t>
      </w:r>
      <w:r>
        <w:rPr>
          <w:rStyle w:val="AttributeTok"/>
        </w:rPr>
        <w:t xml:space="preserve">face =</w:t>
      </w:r>
      <w:r>
        <w:rPr>
          <w:rStyle w:val="NormalTok"/>
        </w:rPr>
        <w:t xml:space="preserve"> </w:t>
      </w:r>
      <w:r>
        <w:rPr>
          <w:rStyle w:val="StringTok"/>
        </w:rPr>
        <w:t xml:space="preserve">"bold"</w:t>
      </w:r>
      <w:r>
        <w:rPr>
          <w:rStyle w:val="NormalTok"/>
        </w:rPr>
        <w:t xml:space="preserve">),</w:t>
      </w:r>
      <w:r>
        <w:br/>
      </w:r>
      <w:r>
        <w:rPr>
          <w:rStyle w:val="NormalTok"/>
        </w:rPr>
        <w:t xml:space="preserve">    </w:t>
      </w:r>
      <w:r>
        <w:rPr>
          <w:rStyle w:val="AttributeTok"/>
        </w:rPr>
        <w:t xml:space="preserve">legend.position =</w:t>
      </w:r>
      <w:r>
        <w:rPr>
          <w:rStyle w:val="NormalTok"/>
        </w:rPr>
        <w:t xml:space="preserve"> </w:t>
      </w:r>
      <w:r>
        <w:rPr>
          <w:rStyle w:val="StringTok"/>
        </w:rPr>
        <w:t xml:space="preserve">"right"</w:t>
      </w:r>
      <w:r>
        <w:br/>
      </w:r>
      <w:r>
        <w:rPr>
          <w:rStyle w:val="NormalTok"/>
        </w:rPr>
        <w:t xml:space="preserve">  ) </w:t>
      </w:r>
    </w:p>
    <w:p>
      <w:pPr>
        <w:pStyle w:val="FirstParagraph"/>
      </w:pPr>
      <w:r>
        <w:drawing>
          <wp:inline>
            <wp:extent cx="5943600" cy="3566160"/>
            <wp:effectExtent b="0" l="0" r="0" t="0"/>
            <wp:docPr descr="" title="" id="34" name="Picture"/>
            <a:graphic>
              <a:graphicData uri="http://schemas.openxmlformats.org/drawingml/2006/picture">
                <pic:pic>
                  <pic:nvPicPr>
                    <pic:cNvPr descr="03_two_sample_mann_whitney_u_test_files/figure-docx/unnamed-chunk-9-1.png" id="35" name="Picture"/>
                    <pic:cNvPicPr>
                      <a:picLocks noChangeArrowheads="1" noChangeAspect="1"/>
                    </pic:cNvPicPr>
                  </pic:nvPicPr>
                  <pic:blipFill>
                    <a:blip r:embed="rId33"/>
                    <a:stretch>
                      <a:fillRect/>
                    </a:stretch>
                  </pic:blipFill>
                  <pic:spPr bwMode="auto">
                    <a:xfrm>
                      <a:off x="0" y="0"/>
                      <a:ext cx="5943600" cy="3566160"/>
                    </a:xfrm>
                    <a:prstGeom prst="rect">
                      <a:avLst/>
                    </a:prstGeom>
                    <a:noFill/>
                    <a:ln w="9525">
                      <a:noFill/>
                      <a:headEnd/>
                      <a:tailEnd/>
                    </a:ln>
                  </pic:spPr>
                </pic:pic>
              </a:graphicData>
            </a:graphic>
          </wp:inline>
        </w:drawing>
      </w:r>
    </w:p>
    <w:bookmarkStart w:id="36" w:name="X98d32a2677272a5e112c1d8ddc51fd23547667a"/>
    <w:p>
      <w:pPr>
        <w:pStyle w:val="Heading2"/>
      </w:pPr>
      <w:r>
        <w:t xml:space="preserve">Understanding the Mann-Whitney-Wilcoxon Test Results</w:t>
      </w:r>
    </w:p>
    <w:p>
      <w:pPr>
        <w:pStyle w:val="FirstParagraph"/>
      </w:pPr>
      <w:r>
        <w:t xml:space="preserve">The Mann-Whitney-Wilcoxon test provides a p-value that represents the probability of observing the rank sum (or a more extreme value) if the null hypothesis were true (i.e., if there were no difference in the distributions of the two lakes).</w:t>
      </w:r>
    </w:p>
    <w:p>
      <w:pPr>
        <w:pStyle w:val="BodyText"/>
      </w:pPr>
      <w:r>
        <w:t xml:space="preserve">Our analysis shows:</w:t>
      </w:r>
    </w:p>
    <w:p>
      <w:pPr>
        <w:numPr>
          <w:ilvl w:val="0"/>
          <w:numId w:val="1005"/>
        </w:numPr>
      </w:pPr>
      <w:r>
        <w:rPr>
          <w:b/>
          <w:bCs/>
        </w:rPr>
        <w:t xml:space="preserve">Observed Difference</w:t>
      </w:r>
      <w:r>
        <w:t xml:space="preserve">: The observed difference in median total length between Lake S 07 and Lake NE 14 is</w:t>
      </w:r>
      <w:r>
        <w:t xml:space="preserve"> </w:t>
      </w:r>
      <w:r>
        <w:rPr>
          <w:rStyle w:val="VerbatimChar"/>
        </w:rPr>
        <w:t xml:space="preserve">median_diff</w:t>
      </w:r>
      <w:r>
        <w:t xml:space="preserve"> </w:t>
      </w:r>
      <w:r>
        <w:t xml:space="preserve">mm.</w:t>
      </w:r>
    </w:p>
    <w:p>
      <w:pPr>
        <w:numPr>
          <w:ilvl w:val="0"/>
          <w:numId w:val="1005"/>
        </w:numPr>
      </w:pPr>
      <w:r>
        <w:rPr>
          <w:b/>
          <w:bCs/>
        </w:rPr>
        <w:t xml:space="preserve">p-value</w:t>
      </w:r>
      <w:r>
        <w:t xml:space="preserve">: The Mann-Whitney-Wilcoxon test yielded a p-value of</w:t>
      </w:r>
      <w:r>
        <w:t xml:space="preserve"> </w:t>
      </w:r>
      <w:r>
        <w:rPr>
          <w:rStyle w:val="VerbatimChar"/>
        </w:rPr>
        <w:t xml:space="preserve">p_value )</w:t>
      </w:r>
      <w:r>
        <w:t xml:space="preserve">.</w:t>
      </w:r>
    </w:p>
    <w:p>
      <w:pPr>
        <w:numPr>
          <w:ilvl w:val="0"/>
          <w:numId w:val="1005"/>
        </w:numPr>
      </w:pPr>
      <w:r>
        <w:rPr>
          <w:b/>
          <w:bCs/>
        </w:rPr>
        <w:t xml:space="preserve">Effect Size</w:t>
      </w:r>
      <w:r>
        <w:t xml:space="preserve">: The rank-biserial correlation (r =</w:t>
      </w:r>
      <w:r>
        <w:t xml:space="preserve"> </w:t>
      </w:r>
      <w:r>
        <w:rPr>
          <w:rStyle w:val="VerbatimChar"/>
        </w:rPr>
        <w:t xml:space="preserve">r</w:t>
      </w:r>
      <w:r>
        <w:t xml:space="preserve">) indicates a</w:t>
      </w:r>
      <w:r>
        <w:t xml:space="preserve"> </w:t>
      </w:r>
      <w:r>
        <w:rPr>
          <w:rStyle w:val="VerbatimChar"/>
        </w:rPr>
        <w:t xml:space="preserve">effect_interpretation</w:t>
      </w:r>
      <w:r>
        <w:t xml:space="preserve"> </w:t>
      </w:r>
      <w:r>
        <w:t xml:space="preserve">effect size.</w:t>
      </w:r>
    </w:p>
    <w:p>
      <w:pPr>
        <w:numPr>
          <w:ilvl w:val="0"/>
          <w:numId w:val="1005"/>
        </w:numPr>
      </w:pPr>
      <w:r>
        <w:rPr>
          <w:b/>
          <w:bCs/>
        </w:rPr>
        <w:t xml:space="preserve">Interpretation</w:t>
      </w:r>
      <w:r>
        <w:t xml:space="preserve">: Since the p-value is</w:t>
      </w:r>
      <w:r>
        <w:t xml:space="preserve"> </w:t>
      </w:r>
      <w:r>
        <w:rPr>
          <w:rStyle w:val="VerbatimChar"/>
        </w:rPr>
        <w:t xml:space="preserve">p_value &lt; 0.05</w:t>
      </w:r>
      <w:r>
        <w:t xml:space="preserve">, we</w:t>
      </w:r>
      <w:r>
        <w:rPr>
          <w:rStyle w:val="VerbatimChar"/>
        </w:rPr>
        <w:t xml:space="preserve">"fail OR reject")</w:t>
      </w:r>
      <w:r>
        <w:t xml:space="preserve"> </w:t>
      </w:r>
      <w:r>
        <w:t xml:space="preserve">the null hypothesis. This indicates that the distributions of fish lengths between the two lakes are</w:t>
      </w:r>
      <w:r>
        <w:t xml:space="preserve"> </w:t>
      </w:r>
      <w:r>
        <w:rPr>
          <w:rStyle w:val="VerbatimChar"/>
        </w:rPr>
        <w:t xml:space="preserve">p_value &lt; 0.05 "significantly different", "not significantly different")</w:t>
      </w:r>
      <w:r>
        <w:t xml:space="preserve">.</w:t>
      </w:r>
    </w:p>
    <w:bookmarkEnd w:id="36"/>
    <w:bookmarkStart w:id="37" w:name="Xd0e80f264856f387b06f4026642ec8cf280574e"/>
    <w:p>
      <w:pPr>
        <w:pStyle w:val="Heading2"/>
      </w:pPr>
      <w:r>
        <w:t xml:space="preserve">Advantages of the Mann-Whitney-Wilcoxon Test</w:t>
      </w:r>
    </w:p>
    <w:p>
      <w:pPr>
        <w:pStyle w:val="FirstParagraph"/>
      </w:pPr>
      <w:r>
        <w:t xml:space="preserve">The Mann-Whitney-Wilcoxon test offered several advantages for this analysis:</w:t>
      </w:r>
    </w:p>
    <w:p>
      <w:pPr>
        <w:numPr>
          <w:ilvl w:val="0"/>
          <w:numId w:val="1006"/>
        </w:numPr>
      </w:pPr>
      <w:r>
        <w:rPr>
          <w:b/>
          <w:bCs/>
        </w:rPr>
        <w:t xml:space="preserve">No Normality Assumption</w:t>
      </w:r>
      <w:r>
        <w:t xml:space="preserve">: It doesn’t require the data to follow a normal distribution, making it appropriate for many ecological datasets.</w:t>
      </w:r>
    </w:p>
    <w:p>
      <w:pPr>
        <w:numPr>
          <w:ilvl w:val="0"/>
          <w:numId w:val="1006"/>
        </w:numPr>
      </w:pPr>
      <w:r>
        <w:rPr>
          <w:b/>
          <w:bCs/>
        </w:rPr>
        <w:t xml:space="preserve">Robust to Outliers</w:t>
      </w:r>
      <w:r>
        <w:t xml:space="preserve">: By using ranks instead of actual values, it’s less sensitive to extreme observations.</w:t>
      </w:r>
    </w:p>
    <w:p>
      <w:pPr>
        <w:numPr>
          <w:ilvl w:val="0"/>
          <w:numId w:val="1006"/>
        </w:numPr>
      </w:pPr>
      <w:r>
        <w:rPr>
          <w:b/>
          <w:bCs/>
        </w:rPr>
        <w:t xml:space="preserve">Applicable to Ordinal Data</w:t>
      </w:r>
      <w:r>
        <w:t xml:space="preserve">: It can be used even when data are measured on an ordinal rather than interval scale.</w:t>
      </w:r>
    </w:p>
    <w:p>
      <w:pPr>
        <w:numPr>
          <w:ilvl w:val="0"/>
          <w:numId w:val="1006"/>
        </w:numPr>
      </w:pPr>
      <w:r>
        <w:rPr>
          <w:b/>
          <w:bCs/>
        </w:rPr>
        <w:t xml:space="preserve">Efficiency</w:t>
      </w:r>
      <w:r>
        <w:t xml:space="preserve">: With normally distributed data, the test has 95% efficiency compared to the t-test, but can be more powerful when distributions are non-normal.</w:t>
      </w:r>
    </w:p>
    <w:p>
      <w:pPr>
        <w:numPr>
          <w:ilvl w:val="0"/>
          <w:numId w:val="1006"/>
        </w:numPr>
      </w:pPr>
      <w:r>
        <w:rPr>
          <w:b/>
          <w:bCs/>
        </w:rPr>
        <w:t xml:space="preserve">Interpretability</w:t>
      </w:r>
      <w:r>
        <w:t xml:space="preserve">: It provides a clear assessment of whether one population tends to have larger values than the other.</w:t>
      </w:r>
    </w:p>
    <w:bookmarkEnd w:id="37"/>
    <w:bookmarkEnd w:id="38"/>
    <w:bookmarkStart w:id="39" w:name="X24e75fa51be412e36dc63f64aded42fd0bd54cb"/>
    <w:p>
      <w:pPr>
        <w:pStyle w:val="Heading1"/>
      </w:pPr>
      <w:r>
        <w:t xml:space="preserve">How to Report These Results in a Scientific Publication</w:t>
      </w:r>
    </w:p>
    <w:p>
      <w:pPr>
        <w:pStyle w:val="FirstParagraph"/>
      </w:pPr>
      <w:r>
        <w:t xml:space="preserve">When reporting these results in a scientific publication, follow this format:</w:t>
      </w:r>
    </w:p>
    <w:p>
      <w:pPr>
        <w:pStyle w:val="BodyText"/>
      </w:pPr>
      <w:r>
        <w:t xml:space="preserve">“Slimy sculpin (</w:t>
      </w:r>
      <w:r>
        <w:rPr>
          <w:i/>
          <w:iCs/>
        </w:rPr>
        <w:t xml:space="preserve">Cottus cognatus</w:t>
      </w:r>
      <w:r>
        <w:t xml:space="preserve">) from Lake S 07 had significantly greater total lengths than those from Lake NE 14 (median: mm, respectively; Mann-Whitney-Wilcoxon test, W =</w:t>
      </w:r>
      <w:r>
        <w:t xml:space="preserve"> </w:t>
      </w:r>
      <w:r>
        <w:rPr>
          <w:rStyle w:val="VerbatimChar"/>
        </w:rPr>
        <w:t xml:space="preserve">wilcox_test</w:t>
      </w:r>
      <w:r>
        <w:t xml:space="preserve">, p</w:t>
      </w:r>
      <w:r>
        <w:t xml:space="preserve"> </w:t>
      </w:r>
      <w:r>
        <w:rPr>
          <w:rStyle w:val="VerbatimChar"/>
        </w:rPr>
        <w:t xml:space="preserve">=(p_value)</w:t>
      </w:r>
      <w:r>
        <w:t xml:space="preserve">, r =</w:t>
      </w:r>
      <w:r>
        <w:t xml:space="preserve"> </w:t>
      </w:r>
      <w:r>
        <w:rPr>
          <w:rStyle w:val="VerbatimChar"/>
        </w:rPr>
        <w:t xml:space="preserve">r</w:t>
      </w:r>
      <w:r>
        <w:t xml:space="preserve">).”</w:t>
      </w:r>
    </w:p>
    <w:p>
      <w:pPr>
        <w:pStyle w:val="BodyText"/>
      </w:pPr>
      <w:r>
        <w:t xml:space="preserve">For the methods section:</w:t>
      </w:r>
    </w:p>
    <w:p>
      <w:pPr>
        <w:pStyle w:val="BodyText"/>
      </w:pPr>
      <w:r>
        <w:t xml:space="preserve">“Due to violations of normality assumptions, differences in sculpin length between lakes were assessed using the non-parametric Mann-Whitney-Wilcoxon test. Effect size was calculated using the rank-biserial correlation coefficient (r).”</w:t>
      </w:r>
    </w:p>
    <w:p>
      <w:pPr>
        <w:pStyle w:val="BodyText"/>
      </w:pPr>
      <w:r>
        <w:t xml:space="preserve">For figures, include a caption such as:</w:t>
      </w:r>
    </w:p>
    <w:p>
      <w:pPr>
        <w:pStyle w:val="BodyText"/>
      </w:pPr>
      <w:r>
        <w:t xml:space="preserve">“Figure X. Total length of slimy sculpin fish from two Arctic lakes, showing median and interquartile range. Fish from Lake S 07 (n = 73) had significantly greater lengths than those from Lake NE 14 (n = 37) (Mann-Whitney-Wilcoxon test, p &lt; 0.001, r =</w:t>
      </w:r>
      <w:r>
        <w:rPr>
          <w:rStyle w:val="VerbatimChar"/>
        </w:rPr>
        <w:t xml:space="preserve">r</w:t>
      </w:r>
      <w:r>
        <w:t xml:space="preserve">.”</w:t>
      </w:r>
    </w:p>
    <w:bookmarkEnd w:id="39"/>
    <w:bookmarkStart w:id="40" w:name="conclusion"/>
    <w:p>
      <w:pPr>
        <w:pStyle w:val="Heading1"/>
      </w:pPr>
      <w:r>
        <w:t xml:space="preserve">Conclusion</w:t>
      </w:r>
    </w:p>
    <w:p>
      <w:pPr>
        <w:pStyle w:val="FirstParagraph"/>
      </w:pPr>
      <w:r>
        <w:t xml:space="preserve">The Mann-Whitney-Wilcoxon test revealed a significant difference in the total length distributions of slimy sculpin fish between Lake S 07 and Lake NE 14, with fish from Lake S 07 having greater lengths. The</w:t>
      </w:r>
      <w:r>
        <w:t xml:space="preserve"> </w:t>
      </w:r>
      <w:r>
        <w:rPr>
          <w:rStyle w:val="VerbatimChar"/>
        </w:rPr>
        <w:t xml:space="preserve">effect_interpretation</w:t>
      </w:r>
      <w:r>
        <w:t xml:space="preserve"> </w:t>
      </w:r>
      <w:r>
        <w:t xml:space="preserve">effect size (r =</w:t>
      </w:r>
      <w:r>
        <w:t xml:space="preserve"> </w:t>
      </w:r>
      <w:r>
        <w:rPr>
          <w:rStyle w:val="VerbatimChar"/>
        </w:rPr>
        <w:t xml:space="preserve">r</w:t>
      </w:r>
      <w:r>
        <w:t xml:space="preserve"> </w:t>
      </w:r>
      <w:r>
        <w:t xml:space="preserve">)indicates that this difference is not only statistically significant but also biologically meaningful.</w:t>
      </w:r>
    </w:p>
    <w:p>
      <w:pPr>
        <w:pStyle w:val="BodyText"/>
      </w:pPr>
      <w:r>
        <w:t xml:space="preserve">This non-parametric approach was appropriate given the potential violations of normality assumptions, and it provided robust evidence of differences between the two lake populations. The approximately</w:t>
      </w:r>
      <w:r>
        <w:t xml:space="preserve"> </w:t>
      </w:r>
      <w:r>
        <w:rPr>
          <w:rStyle w:val="VerbatimChar"/>
        </w:rPr>
        <w:t xml:space="preserve">percent_diff</w:t>
      </w:r>
      <w:r>
        <w:t xml:space="preserve">% difference in median lengths suggests substantial ecological differences between these habitats that warrant further investigation.</w:t>
      </w:r>
    </w:p>
    <w:bookmarkEnd w:id="40"/>
    <w:sectPr w:rsidR="00BC5723" w:rsidRPr="00846576">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40"/>
  <w:embedSystemFonts/>
  <w:proofState w:grammar="clean" w:spelling="clean"/>
  <w:stylePaneFormatFilter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al="1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CF1"/>
    <w:rsid w:val="001D4BF4"/>
    <w:rsid w:val="00322D32"/>
    <w:rsid w:val="003A43E8"/>
    <w:rsid w:val="005316D4"/>
    <w:rsid w:val="00636BA6"/>
    <w:rsid w:val="00771E03"/>
    <w:rsid w:val="007D1245"/>
    <w:rsid w:val="00846576"/>
    <w:rsid w:val="008E7AF3"/>
    <w:rsid w:val="009F6993"/>
    <w:rsid w:val="00AF5CF1"/>
    <w:rsid w:val="00BC28E9"/>
    <w:rsid w:val="00BC5723"/>
    <w:rsid w:val="00BE2C86"/>
    <w:rsid w:val="00D216D4"/>
    <w:rsid w:val="00D50509"/>
    <w:rsid w:val="00D9646C"/>
    <w:rsid w:val="00DF1EEE"/>
    <w:rsid w:val="00F85349"/>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cs="Times New Roman (Body CS)" w:eastAsiaTheme="minorHAnsi" w:hAnsi="Arial"/>
        <w:kern w:val="2"/>
        <w:sz w:val="24"/>
        <w:szCs w:val="24"/>
        <w:lang w:bidi="ar-SA" w:eastAsia="en-US" w:val="en-US"/>
        <w14:ligatures w14:val="standardContextual"/>
      </w:rPr>
    </w:rPrDefault>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846576"/>
    <w:pPr>
      <w:keepNext/>
      <w:keepLines/>
      <w:spacing w:after="80" w:before="360"/>
      <w:outlineLvl w:val="0"/>
    </w:pPr>
    <w:rPr>
      <w:rFonts w:asciiTheme="majorHAnsi" w:cstheme="majorBidi" w:eastAsiaTheme="majorEastAsia" w:hAnsiTheme="majorHAnsi"/>
      <w:b/>
      <w:color w:themeColor="accent1" w:themeShade="BF" w:val="0F4761"/>
      <w:sz w:val="28"/>
      <w:szCs w:val="40"/>
    </w:rPr>
  </w:style>
  <w:style w:styleId="Heading2" w:type="paragraph">
    <w:name w:val="heading 2"/>
    <w:basedOn w:val="Normal"/>
    <w:next w:val="Normal"/>
    <w:link w:val="Heading2Char"/>
    <w:uiPriority w:val="9"/>
    <w:semiHidden/>
    <w:unhideWhenUsed/>
    <w:qFormat/>
    <w:rsid w:val="00846576"/>
    <w:pPr>
      <w:keepNext/>
      <w:keepLines/>
      <w:spacing w:after="80" w:before="160"/>
      <w:outlineLvl w:val="1"/>
    </w:pPr>
    <w:rPr>
      <w:rFonts w:asciiTheme="majorHAnsi" w:cstheme="majorBidi" w:eastAsiaTheme="majorEastAsia" w:hAnsiTheme="majorHAnsi"/>
      <w:color w:themeColor="accent1" w:themeShade="BF" w:val="0F4761"/>
      <w:szCs w:val="32"/>
    </w:rPr>
  </w:style>
  <w:style w:styleId="Heading3" w:type="paragraph">
    <w:name w:val="heading 3"/>
    <w:basedOn w:val="Normal"/>
    <w:next w:val="Normal"/>
    <w:link w:val="Heading3Char"/>
    <w:uiPriority w:val="9"/>
    <w:unhideWhenUsed/>
    <w:qFormat/>
    <w:rsid w:val="00846576"/>
    <w:pPr>
      <w:keepNext/>
      <w:keepLines/>
      <w:spacing w:after="80" w:before="160"/>
      <w:outlineLvl w:val="2"/>
    </w:pPr>
    <w:rPr>
      <w:rFonts w:asciiTheme="minorHAnsi" w:cstheme="majorBidi" w:eastAsiaTheme="majorEastAsia" w:hAnsiTheme="minorHAnsi"/>
      <w:color w:themeColor="accent1" w:themeShade="BF" w:val="0F4761"/>
      <w:sz w:val="22"/>
      <w:szCs w:val="28"/>
    </w:rPr>
  </w:style>
  <w:style w:styleId="Heading4" w:type="paragraph">
    <w:name w:val="heading 4"/>
    <w:basedOn w:val="Normal"/>
    <w:next w:val="Normal"/>
    <w:link w:val="Heading4Char"/>
    <w:uiPriority w:val="9"/>
    <w:semiHidden/>
    <w:unhideWhenUsed/>
    <w:qFormat/>
    <w:rsid w:val="00846576"/>
    <w:pPr>
      <w:keepNext/>
      <w:keepLines/>
      <w:spacing w:after="40" w:before="80"/>
      <w:outlineLvl w:val="3"/>
    </w:pPr>
    <w:rPr>
      <w:rFonts w:asciiTheme="minorHAnsi" w:cstheme="majorBidi" w:eastAsiaTheme="majorEastAsia" w:hAnsiTheme="minorHAnsi"/>
      <w:iCs/>
      <w:color w:themeColor="accent1" w:themeShade="BF" w:val="0F4761"/>
    </w:rPr>
  </w:style>
  <w:style w:styleId="Heading5" w:type="paragraph">
    <w:name w:val="heading 5"/>
    <w:basedOn w:val="Normal"/>
    <w:next w:val="Normal"/>
    <w:link w:val="Heading5Char"/>
    <w:uiPriority w:val="9"/>
    <w:semiHidden/>
    <w:unhideWhenUsed/>
    <w:qFormat/>
    <w:rsid w:val="00AF5CF1"/>
    <w:pPr>
      <w:keepNext/>
      <w:keepLines/>
      <w:spacing w:after="40" w:before="80"/>
      <w:outlineLvl w:val="4"/>
    </w:pPr>
    <w:rPr>
      <w:rFonts w:asciiTheme="minorHAnsi" w:cstheme="majorBidi" w:eastAsiaTheme="majorEastAsia" w:hAnsiTheme="minorHAnsi"/>
      <w:color w:themeColor="accent1" w:themeShade="BF" w:val="0F4761"/>
    </w:rPr>
  </w:style>
  <w:style w:styleId="Heading6" w:type="paragraph">
    <w:name w:val="heading 6"/>
    <w:basedOn w:val="Normal"/>
    <w:next w:val="Normal"/>
    <w:link w:val="Heading6Char"/>
    <w:uiPriority w:val="9"/>
    <w:semiHidden/>
    <w:unhideWhenUsed/>
    <w:qFormat/>
    <w:rsid w:val="00846576"/>
    <w:pPr>
      <w:keepNext/>
      <w:keepLines/>
      <w:spacing w:before="40"/>
      <w:outlineLvl w:val="5"/>
    </w:pPr>
    <w:rPr>
      <w:rFonts w:asciiTheme="minorHAnsi" w:cstheme="majorBidi" w:eastAsiaTheme="majorEastAsia" w:hAnsiTheme="minorHAnsi"/>
      <w:iCs/>
      <w:color w:themeColor="text1" w:themeTint="A6" w:val="595959"/>
    </w:rPr>
  </w:style>
  <w:style w:styleId="Heading7" w:type="paragraph">
    <w:name w:val="heading 7"/>
    <w:basedOn w:val="Normal"/>
    <w:next w:val="Normal"/>
    <w:link w:val="Heading7Char"/>
    <w:uiPriority w:val="9"/>
    <w:semiHidden/>
    <w:unhideWhenUsed/>
    <w:qFormat/>
    <w:rsid w:val="00AF5CF1"/>
    <w:pPr>
      <w:keepNext/>
      <w:keepLines/>
      <w:spacing w:before="40"/>
      <w:outlineLvl w:val="6"/>
    </w:pPr>
    <w:rPr>
      <w:rFonts w:asciiTheme="minorHAnsi" w:cstheme="majorBidi" w:eastAsiaTheme="majorEastAsia" w:hAnsiTheme="minorHAnsi"/>
      <w:color w:themeColor="text1" w:themeTint="A6" w:val="595959"/>
    </w:rPr>
  </w:style>
  <w:style w:styleId="Heading8" w:type="paragraph">
    <w:name w:val="heading 8"/>
    <w:basedOn w:val="Normal"/>
    <w:next w:val="Normal"/>
    <w:link w:val="Heading8Char"/>
    <w:uiPriority w:val="9"/>
    <w:semiHidden/>
    <w:unhideWhenUsed/>
    <w:qFormat/>
    <w:rsid w:val="00846576"/>
    <w:pPr>
      <w:keepNext/>
      <w:keepLines/>
      <w:outlineLvl w:val="7"/>
    </w:pPr>
    <w:rPr>
      <w:rFonts w:asciiTheme="minorHAnsi" w:cstheme="majorBidi" w:eastAsiaTheme="majorEastAsia" w:hAnsiTheme="minorHAnsi"/>
      <w:iCs/>
      <w:color w:themeColor="text1" w:themeTint="D8" w:val="272727"/>
    </w:rPr>
  </w:style>
  <w:style w:styleId="Heading9" w:type="paragraph">
    <w:name w:val="heading 9"/>
    <w:basedOn w:val="Normal"/>
    <w:next w:val="Normal"/>
    <w:link w:val="Heading9Char"/>
    <w:uiPriority w:val="9"/>
    <w:semiHidden/>
    <w:unhideWhenUsed/>
    <w:qFormat/>
    <w:rsid w:val="00846576"/>
    <w:pPr>
      <w:keepNext/>
      <w:keepLines/>
      <w:outlineLvl w:val="8"/>
    </w:pPr>
    <w:rPr>
      <w:rFonts w:asciiTheme="minorHAnsi" w:cstheme="majorBidi" w:eastAsiaTheme="majorEastAsia" w:hAnsiTheme="minorHAnsi"/>
      <w:color w:themeColor="text1" w:themeTint="D8" w:val="272727"/>
      <w:sz w:val="2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846576"/>
    <w:rPr>
      <w:rFonts w:asciiTheme="majorHAnsi" w:cstheme="majorBidi" w:eastAsiaTheme="majorEastAsia" w:hAnsiTheme="majorHAnsi"/>
      <w:b/>
      <w:color w:themeColor="accent1" w:themeShade="BF" w:val="0F4761"/>
      <w:sz w:val="28"/>
      <w:szCs w:val="40"/>
    </w:rPr>
  </w:style>
  <w:style w:customStyle="1" w:styleId="Heading2Char" w:type="character">
    <w:name w:val="Heading 2 Char"/>
    <w:basedOn w:val="DefaultParagraphFont"/>
    <w:link w:val="Heading2"/>
    <w:uiPriority w:val="9"/>
    <w:semiHidden/>
    <w:rsid w:val="00846576"/>
    <w:rPr>
      <w:rFonts w:asciiTheme="majorHAnsi" w:cstheme="majorBidi" w:eastAsiaTheme="majorEastAsia" w:hAnsiTheme="majorHAnsi"/>
      <w:color w:themeColor="accent1" w:themeShade="BF" w:val="0F4761"/>
      <w:szCs w:val="32"/>
    </w:rPr>
  </w:style>
  <w:style w:customStyle="1" w:styleId="Heading3Char" w:type="character">
    <w:name w:val="Heading 3 Char"/>
    <w:basedOn w:val="DefaultParagraphFont"/>
    <w:link w:val="Heading3"/>
    <w:uiPriority w:val="9"/>
    <w:rsid w:val="00846576"/>
    <w:rPr>
      <w:rFonts w:asciiTheme="minorHAnsi" w:cstheme="majorBidi" w:eastAsiaTheme="majorEastAsia" w:hAnsiTheme="minorHAnsi"/>
      <w:color w:themeColor="accent1" w:themeShade="BF" w:val="0F4761"/>
      <w:sz w:val="22"/>
      <w:szCs w:val="28"/>
    </w:rPr>
  </w:style>
  <w:style w:customStyle="1" w:styleId="Heading4Char" w:type="character">
    <w:name w:val="Heading 4 Char"/>
    <w:basedOn w:val="DefaultParagraphFont"/>
    <w:link w:val="Heading4"/>
    <w:uiPriority w:val="9"/>
    <w:semiHidden/>
    <w:rsid w:val="00846576"/>
    <w:rPr>
      <w:rFonts w:asciiTheme="minorHAnsi" w:cstheme="majorBidi" w:eastAsiaTheme="majorEastAsia" w:hAnsiTheme="minorHAnsi"/>
      <w:iCs/>
      <w:color w:themeColor="accent1" w:themeShade="BF" w:val="0F4761"/>
    </w:rPr>
  </w:style>
  <w:style w:customStyle="1" w:styleId="Heading5Char" w:type="character">
    <w:name w:val="Heading 5 Char"/>
    <w:basedOn w:val="DefaultParagraphFont"/>
    <w:link w:val="Heading5"/>
    <w:uiPriority w:val="9"/>
    <w:semiHidden/>
    <w:rsid w:val="00AF5CF1"/>
    <w:rPr>
      <w:rFonts w:asciiTheme="minorHAnsi" w:cstheme="majorBidi" w:eastAsiaTheme="majorEastAsia" w:hAnsiTheme="minorHAnsi"/>
      <w:color w:themeColor="accent1" w:themeShade="BF" w:val="0F4761"/>
    </w:rPr>
  </w:style>
  <w:style w:customStyle="1" w:styleId="Heading6Char" w:type="character">
    <w:name w:val="Heading 6 Char"/>
    <w:basedOn w:val="DefaultParagraphFont"/>
    <w:link w:val="Heading6"/>
    <w:uiPriority w:val="9"/>
    <w:semiHidden/>
    <w:rsid w:val="00846576"/>
    <w:rPr>
      <w:rFonts w:asciiTheme="minorHAnsi" w:cstheme="majorBidi" w:eastAsiaTheme="majorEastAsia" w:hAnsiTheme="minorHAnsi"/>
      <w:iCs/>
      <w:color w:themeColor="text1" w:themeTint="A6" w:val="595959"/>
    </w:rPr>
  </w:style>
  <w:style w:customStyle="1" w:styleId="Heading7Char" w:type="character">
    <w:name w:val="Heading 7 Char"/>
    <w:basedOn w:val="DefaultParagraphFont"/>
    <w:link w:val="Heading7"/>
    <w:uiPriority w:val="9"/>
    <w:semiHidden/>
    <w:rsid w:val="00AF5CF1"/>
    <w:rPr>
      <w:rFonts w:asciiTheme="minorHAnsi" w:cstheme="majorBidi" w:eastAsiaTheme="majorEastAsia" w:hAnsiTheme="minorHAnsi"/>
      <w:color w:themeColor="text1" w:themeTint="A6" w:val="595959"/>
    </w:rPr>
  </w:style>
  <w:style w:customStyle="1" w:styleId="Heading8Char" w:type="character">
    <w:name w:val="Heading 8 Char"/>
    <w:basedOn w:val="DefaultParagraphFont"/>
    <w:link w:val="Heading8"/>
    <w:uiPriority w:val="9"/>
    <w:semiHidden/>
    <w:rsid w:val="00846576"/>
    <w:rPr>
      <w:rFonts w:asciiTheme="minorHAnsi" w:cstheme="majorBidi" w:eastAsiaTheme="majorEastAsia" w:hAnsiTheme="minorHAnsi"/>
      <w:iCs/>
      <w:color w:themeColor="text1" w:themeTint="D8" w:val="272727"/>
    </w:rPr>
  </w:style>
  <w:style w:customStyle="1" w:styleId="Heading9Char" w:type="character">
    <w:name w:val="Heading 9 Char"/>
    <w:basedOn w:val="DefaultParagraphFont"/>
    <w:link w:val="Heading9"/>
    <w:uiPriority w:val="9"/>
    <w:semiHidden/>
    <w:rsid w:val="00846576"/>
    <w:rPr>
      <w:rFonts w:asciiTheme="minorHAnsi" w:cstheme="majorBidi" w:eastAsiaTheme="majorEastAsia" w:hAnsiTheme="minorHAnsi"/>
      <w:color w:themeColor="text1" w:themeTint="D8" w:val="272727"/>
      <w:sz w:val="22"/>
    </w:rPr>
  </w:style>
  <w:style w:styleId="Title" w:type="paragraph">
    <w:name w:val="Title"/>
    <w:basedOn w:val="Normal"/>
    <w:next w:val="Normal"/>
    <w:link w:val="TitleChar"/>
    <w:uiPriority w:val="10"/>
    <w:qFormat/>
    <w:rsid w:val="00AF5CF1"/>
    <w:pPr>
      <w:spacing w:after="80"/>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F5CF1"/>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AF5CF1"/>
    <w:pPr>
      <w:numPr>
        <w:ilvl w:val="1"/>
      </w:numPr>
      <w:spacing w:after="160"/>
    </w:pPr>
    <w:rPr>
      <w:rFonts w:asciiTheme="minorHAnsi" w:cstheme="majorBidi" w:eastAsiaTheme="majorEastAsia" w:hAnsiTheme="minorHAnsi"/>
      <w:color w:themeColor="text1" w:themeTint="A6" w:val="595959"/>
      <w:spacing w:val="15"/>
      <w:sz w:val="28"/>
      <w:szCs w:val="28"/>
    </w:rPr>
  </w:style>
  <w:style w:customStyle="1" w:styleId="SubtitleChar" w:type="character">
    <w:name w:val="Subtitle Char"/>
    <w:basedOn w:val="DefaultParagraphFont"/>
    <w:link w:val="Subtitle"/>
    <w:uiPriority w:val="11"/>
    <w:rsid w:val="00AF5CF1"/>
    <w:rPr>
      <w:rFonts w:asciiTheme="minorHAnsi" w:cstheme="majorBidi" w:eastAsiaTheme="majorEastAsia" w:hAnsiTheme="minorHAnsi"/>
      <w:color w:themeColor="text1" w:themeTint="A6" w:val="595959"/>
      <w:spacing w:val="15"/>
      <w:sz w:val="28"/>
      <w:szCs w:val="28"/>
    </w:rPr>
  </w:style>
  <w:style w:styleId="Quote" w:type="paragraph">
    <w:name w:val="Quote"/>
    <w:basedOn w:val="Normal"/>
    <w:next w:val="Normal"/>
    <w:link w:val="QuoteChar"/>
    <w:uiPriority w:val="29"/>
    <w:qFormat/>
    <w:rsid w:val="00AF5CF1"/>
    <w:pPr>
      <w:spacing w:after="160" w:before="160"/>
      <w:jc w:val="center"/>
    </w:pPr>
    <w:rPr>
      <w:i/>
      <w:iCs/>
      <w:color w:themeColor="text1" w:themeTint="BF" w:val="404040"/>
    </w:rPr>
  </w:style>
  <w:style w:customStyle="1" w:styleId="QuoteChar" w:type="character">
    <w:name w:val="Quote Char"/>
    <w:basedOn w:val="DefaultParagraphFont"/>
    <w:link w:val="Quote"/>
    <w:uiPriority w:val="29"/>
    <w:rsid w:val="00AF5CF1"/>
    <w:rPr>
      <w:i/>
      <w:iCs/>
      <w:color w:themeColor="text1" w:themeTint="BF" w:val="404040"/>
    </w:rPr>
  </w:style>
  <w:style w:styleId="ListParagraph" w:type="paragraph">
    <w:name w:val="List Paragraph"/>
    <w:basedOn w:val="Normal"/>
    <w:uiPriority w:val="34"/>
    <w:qFormat/>
    <w:rsid w:val="00AF5CF1"/>
    <w:pPr>
      <w:ind w:left="720"/>
      <w:contextualSpacing/>
    </w:pPr>
  </w:style>
  <w:style w:styleId="IntenseEmphasis" w:type="character">
    <w:name w:val="Intense Emphasis"/>
    <w:basedOn w:val="DefaultParagraphFont"/>
    <w:uiPriority w:val="21"/>
    <w:qFormat/>
    <w:rsid w:val="00AF5CF1"/>
    <w:rPr>
      <w:i/>
      <w:iCs/>
      <w:color w:themeColor="accent1" w:themeShade="BF" w:val="0F4761"/>
    </w:rPr>
  </w:style>
  <w:style w:styleId="IntenseQuote" w:type="paragraph">
    <w:name w:val="Intense Quote"/>
    <w:basedOn w:val="Normal"/>
    <w:next w:val="Normal"/>
    <w:link w:val="IntenseQuoteChar"/>
    <w:uiPriority w:val="30"/>
    <w:qFormat/>
    <w:rsid w:val="00AF5CF1"/>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IntenseQuoteChar" w:type="character">
    <w:name w:val="Intense Quote Char"/>
    <w:basedOn w:val="DefaultParagraphFont"/>
    <w:link w:val="IntenseQuote"/>
    <w:uiPriority w:val="30"/>
    <w:rsid w:val="00AF5CF1"/>
    <w:rPr>
      <w:i/>
      <w:iCs/>
      <w:color w:themeColor="accent1" w:themeShade="BF" w:val="0F4761"/>
    </w:rPr>
  </w:style>
  <w:style w:styleId="IntenseReference" w:type="character">
    <w:name w:val="Intense Reference"/>
    <w:basedOn w:val="DefaultParagraphFont"/>
    <w:uiPriority w:val="32"/>
    <w:qFormat/>
    <w:rsid w:val="00AF5CF1"/>
    <w:rPr>
      <w:b/>
      <w:bCs/>
      <w:smallCaps/>
      <w:color w:themeColor="accent1" w:themeShade="BF" w:val="0F4761"/>
      <w:spacing w:val="5"/>
    </w:rPr>
  </w:style>
  <w:style w:styleId="HTMLCode" w:type="character">
    <w:name w:val="HTML Code"/>
    <w:basedOn w:val="DefaultParagraphFont"/>
    <w:uiPriority w:val="99"/>
    <w:unhideWhenUsed/>
    <w:rsid w:val="00771E03"/>
    <w:rPr>
      <w:rFonts w:ascii="Consolas" w:cs="Consolas" w:hAnsi="Consolas"/>
      <w:sz w:val="18"/>
      <w:szCs w:val="20"/>
    </w:rPr>
  </w:style>
  <w:style w:customStyle="1" w:styleId="Code" w:type="paragraph">
    <w:name w:val="Code"/>
    <w:basedOn w:val="Normal"/>
    <w:next w:val="Normal"/>
    <w:qFormat/>
    <w:rsid w:val="00BC28E9"/>
    <w:pPr>
      <w:pBdr>
        <w:top w:color="FF0000" w:space="1" w:sz="8" w:val="single"/>
        <w:left w:color="FF0000" w:space="4" w:sz="8" w:val="single"/>
        <w:bottom w:color="FF0000" w:space="1" w:sz="8" w:val="single"/>
        <w:right w:color="FF0000" w:space="4" w:sz="8" w:val="single"/>
      </w:pBdr>
      <w:shd w:color="auto" w:fill="auto" w:val="pct15"/>
      <w:spacing w:after="120" w:before="120"/>
      <w:ind w:left="432" w:right="432"/>
    </w:pPr>
    <w:rPr>
      <w:rFonts w:ascii="Courier New" w:hAnsi="Courier New"/>
      <w:sz w:val="18"/>
    </w:rPr>
  </w:style>
  <w:style w:customStyle="1" w:styleId="SourceCode" w:type="paragraph">
    <w:name w:val="Source Code"/>
    <w:basedOn w:val="Normal"/>
    <w:qFormat/>
    <w:rsid w:val="00771E03"/>
    <w:pPr>
      <w:pBdr>
        <w:top w:color="auto" w:space="1" w:sz="8" w:val="single"/>
        <w:left w:color="auto" w:space="4" w:sz="8" w:val="single"/>
        <w:bottom w:color="auto" w:space="1" w:sz="8" w:val="single"/>
        <w:right w:color="auto" w:space="4" w:sz="8" w:val="single"/>
      </w:pBdr>
      <w:shd w:color="auto" w:fill="auto" w:val="pct15"/>
      <w:spacing w:after="240" w:before="240"/>
      <w:ind w:left="432" w:right="432"/>
    </w:pPr>
    <w:rPr>
      <w:rFonts w:ascii="Courier New" w:hAnsi="Courier New"/>
      <w:sz w:val="20"/>
    </w:rPr>
  </w:style>
  <w:style w:customStyle="1" w:styleId="Verbatim" w:type="paragraph">
    <w:name w:val="Verbatim"/>
    <w:basedOn w:val="Normal"/>
    <w:qFormat/>
    <w:rsid w:val="00771E03"/>
    <w:pPr>
      <w:shd w:color="auto" w:fill="auto" w:val="pct15"/>
      <w:spacing w:after="240" w:before="240"/>
      <w:ind w:left="432" w:right="432"/>
    </w:pPr>
    <w:rPr>
      <w:rFonts w:ascii="Courier New" w:hAnsi="Courier New"/>
      <w:sz w:val="18"/>
    </w:rPr>
  </w:style>
  <w:style w:customStyle="1" w:styleId="CodeBlock" w:type="paragraph">
    <w:name w:val="Code Block"/>
    <w:basedOn w:val="Verbatim"/>
    <w:qFormat/>
    <w:rsid w:val="00BC28E9"/>
  </w:style>
  <w:style w:styleId="CommentText" w:type="paragraph">
    <w:name w:val="annotation text"/>
    <w:basedOn w:val="Normal"/>
    <w:link w:val="CommentTextChar"/>
    <w:uiPriority w:val="99"/>
    <w:unhideWhenUsed/>
    <w:rsid w:val="00771E03"/>
    <w:rPr>
      <w:sz w:val="20"/>
      <w:szCs w:val="20"/>
    </w:rPr>
  </w:style>
  <w:style w:customStyle="1" w:styleId="CommentTextChar" w:type="character">
    <w:name w:val="Comment Text Char"/>
    <w:basedOn w:val="DefaultParagraphFont"/>
    <w:link w:val="CommentText"/>
    <w:uiPriority w:val="99"/>
    <w:rsid w:val="00771E03"/>
    <w:rPr>
      <w:sz w:val="20"/>
      <w:szCs w:val="20"/>
    </w:rPr>
  </w:style>
  <w:style w:styleId="TOC1" w:type="paragraph">
    <w:name w:val="toc 1"/>
    <w:basedOn w:val="Normal"/>
    <w:next w:val="Normal"/>
    <w:autoRedefine/>
    <w:uiPriority w:val="39"/>
    <w:unhideWhenUsed/>
    <w:rsid w:val="00322D32"/>
    <w:pPr>
      <w:spacing w:after="100"/>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5" Target="media/rId15.png" /><Relationship Type="http://schemas.openxmlformats.org/officeDocument/2006/relationships/image" Id="rId19" Target="media/rId19.png" /><Relationship Type="http://schemas.openxmlformats.org/officeDocument/2006/relationships/image" Id="rId33" Target="media/rId33.png" /><Relationship Type="http://schemas.openxmlformats.org/officeDocument/2006/relationships/image" Id="rId22" Target="media/rId22.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Two Sample Mann_Whitney Test</dc:title>
  <dc:creator>Bill Perry</dc:creator>
  <cp:keywords/>
  <dcterms:created xsi:type="dcterms:W3CDTF">2026-05-07T02:54:01Z</dcterms:created>
  <dcterms:modified xsi:type="dcterms:W3CDTF">2026-05-07T02:54:01Z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efault">
    <vt:lpwstr>True</vt:lpwstr>
  </property>
  <property fmtid="{D5CDD505-2E9C-101B-9397-08002B2CF9AE}" pid="6" name="engines">
    <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toc-title">
    <vt:lpwstr>Table of contents</vt:lpwstr>
  </property>
</Properties>
</file>