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76.png" ContentType="image/png"/>
  <Override PartName="/word/media/rId48.png" ContentType="image/png"/>
  <Override PartName="/word/media/rId72.png" ContentType="image/png"/>
  <Override PartName="/word/media/rId81.png" ContentType="image/png"/>
  <Override PartName="/word/media/rId85.png" ContentType="image/png"/>
  <Override PartName="/word/media/rId89.png" ContentType="image/png"/>
  <Override PartName="/word/media/rId60.png" ContentType="image/png"/>
  <Override PartName="/word/media/rId68.png" ContentType="image/png"/>
  <Override PartName="/word/media/rId52.png" ContentType="image/png"/>
  <Override PartName="/word/media/rId64.png" ContentType="image/png"/>
  <Override PartName="/word/media/rId20.png" ContentType="image/png"/>
  <Override PartName="/word/media/rId56.png" ContentType="image/png"/>
  <Override PartName="/word/media/rId25.jpg" ContentType="image/jpeg"/>
  <Override PartName="/word/media/rId29.png" ContentType="image/png"/>
  <Override PartName="/word/media/rId33.jp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Lecture 06</w:t>
      </w:r>
    </w:p>
    <w:p>
      <w:pPr>
        <w:pStyle w:val="Author"/>
      </w:pPr>
      <w:r>
        <w:t xml:space="preserve">Bill Perry</w:t>
      </w:r>
    </w:p>
    <w:bookmarkStart w:id="23" w:name="lecture-5-review"/>
    <w:p>
      <w:pPr>
        <w:pStyle w:val="Heading1"/>
      </w:pPr>
      <w:r>
        <w:t xml:space="preserve">Lecture 5: Review</w:t>
      </w:r>
    </w:p>
    <w:p>
      <w:pPr>
        <w:pStyle w:val="FirstParagraph"/>
      </w:pPr>
      <w:r>
        <w:t xml:space="preserve">Covered</w:t>
      </w:r>
    </w:p>
    <w:p>
      <w:pPr>
        <w:pStyle w:val="Compact"/>
        <w:numPr>
          <w:ilvl w:val="0"/>
          <w:numId w:val="1001"/>
        </w:numPr>
      </w:pPr>
      <w:r>
        <w:t xml:space="preserve">Statistical inference fundamentals</w:t>
      </w:r>
    </w:p>
    <w:p>
      <w:pPr>
        <w:pStyle w:val="Compact"/>
        <w:numPr>
          <w:ilvl w:val="0"/>
          <w:numId w:val="1001"/>
        </w:numPr>
      </w:pPr>
      <w:r>
        <w:t xml:space="preserve">Hypothesis testing principles</w:t>
      </w:r>
    </w:p>
    <w:p>
      <w:pPr>
        <w:pStyle w:val="Compact"/>
        <w:numPr>
          <w:ilvl w:val="0"/>
          <w:numId w:val="1001"/>
        </w:numPr>
      </w:pPr>
      <w:r>
        <w:t xml:space="preserve">T Distributions</w:t>
      </w:r>
    </w:p>
    <w:p>
      <w:pPr>
        <w:pStyle w:val="Compact"/>
        <w:numPr>
          <w:ilvl w:val="0"/>
          <w:numId w:val="1001"/>
        </w:numPr>
      </w:pPr>
      <w:r>
        <w:t xml:space="preserve">One sample T Tests</w:t>
      </w:r>
    </w:p>
    <w:p>
      <w:pPr>
        <w:pStyle w:val="Compact"/>
        <w:numPr>
          <w:ilvl w:val="0"/>
          <w:numId w:val="1001"/>
        </w:numPr>
      </w:pPr>
      <w:r>
        <w:t xml:space="preserve">Two sample T</w:t>
      </w:r>
    </w:p>
    <w:p>
      <w:pPr>
        <w:pStyle w:val="FirstParagraph"/>
      </w:pPr>
      <w:r>
        <w:drawing>
          <wp:inline>
            <wp:extent cx="2019300" cy="2457450"/>
            <wp:effectExtent b="0" l="0" r="0" t="0"/>
            <wp:docPr descr="" title="" id="21" name="Picture"/>
            <a:graphic>
              <a:graphicData uri="http://schemas.openxmlformats.org/drawingml/2006/picture">
                <pic:pic>
                  <pic:nvPicPr>
                    <pic:cNvPr descr="images/clipboard-536528302.png" id="22" name="Picture"/>
                    <pic:cNvPicPr>
                      <a:picLocks noChangeArrowheads="1" noChangeAspect="1"/>
                    </pic:cNvPicPr>
                  </pic:nvPicPr>
                  <pic:blipFill>
                    <a:blip r:embed="rId20"/>
                    <a:stretch>
                      <a:fillRect/>
                    </a:stretch>
                  </pic:blipFill>
                  <pic:spPr bwMode="auto">
                    <a:xfrm>
                      <a:off x="0" y="0"/>
                      <a:ext cx="2019300" cy="2457450"/>
                    </a:xfrm>
                    <a:prstGeom prst="rect">
                      <a:avLst/>
                    </a:prstGeom>
                    <a:noFill/>
                    <a:ln w="9525">
                      <a:noFill/>
                      <a:headEnd/>
                      <a:tailEnd/>
                    </a:ln>
                  </pic:spPr>
                </pic:pic>
              </a:graphicData>
            </a:graphic>
          </wp:inline>
        </w:drawing>
      </w:r>
    </w:p>
    <w:bookmarkEnd w:id="23"/>
    <w:bookmarkStart w:id="28" w:name="lecture-6-overview"/>
    <w:p>
      <w:pPr>
        <w:pStyle w:val="Heading1"/>
      </w:pPr>
      <w:r>
        <w:rPr>
          <w:b/>
          <w:bCs/>
        </w:rPr>
        <w:t xml:space="preserve">Lecture 6:</w:t>
      </w:r>
      <w:r>
        <w:t xml:space="preserve"> </w:t>
      </w:r>
      <w:r>
        <w:t xml:space="preserve">Overview</w:t>
      </w:r>
    </w:p>
    <w:bookmarkStart w:id="24" w:name="the-objectives"/>
    <w:p>
      <w:pPr>
        <w:pStyle w:val="Heading2"/>
      </w:pPr>
      <w:r>
        <w:t xml:space="preserve">The objectives:</w:t>
      </w:r>
    </w:p>
    <w:p>
      <w:pPr>
        <w:pStyle w:val="Compact"/>
        <w:numPr>
          <w:ilvl w:val="0"/>
          <w:numId w:val="1002"/>
        </w:numPr>
      </w:pPr>
      <w:r>
        <w:t xml:space="preserve">p-values</w:t>
      </w:r>
    </w:p>
    <w:p>
      <w:pPr>
        <w:pStyle w:val="Compact"/>
        <w:numPr>
          <w:ilvl w:val="0"/>
          <w:numId w:val="1002"/>
        </w:numPr>
      </w:pPr>
      <w:r>
        <w:t xml:space="preserve">Brief review</w:t>
      </w:r>
    </w:p>
    <w:p>
      <w:pPr>
        <w:pStyle w:val="Compact"/>
        <w:numPr>
          <w:ilvl w:val="0"/>
          <w:numId w:val="1002"/>
        </w:numPr>
      </w:pPr>
      <w:r>
        <w:t xml:space="preserve">H test for a single population</w:t>
      </w:r>
    </w:p>
    <w:p>
      <w:pPr>
        <w:pStyle w:val="Compact"/>
        <w:numPr>
          <w:ilvl w:val="0"/>
          <w:numId w:val="1002"/>
        </w:numPr>
      </w:pPr>
      <w:r>
        <w:t xml:space="preserve">1- and 2-sided tests</w:t>
      </w:r>
    </w:p>
    <w:p>
      <w:pPr>
        <w:pStyle w:val="Compact"/>
        <w:numPr>
          <w:ilvl w:val="0"/>
          <w:numId w:val="1002"/>
        </w:numPr>
      </w:pPr>
      <w:r>
        <w:t xml:space="preserve">Hypothesis tests for two populations</w:t>
      </w:r>
    </w:p>
    <w:p>
      <w:pPr>
        <w:pStyle w:val="Compact"/>
        <w:numPr>
          <w:ilvl w:val="0"/>
          <w:numId w:val="1002"/>
        </w:numPr>
      </w:pPr>
      <w:r>
        <w:t xml:space="preserve">Assumptions of parametric tests</w:t>
      </w:r>
    </w:p>
    <w:bookmarkEnd w:id="24"/>
    <w:p>
      <w:pPr>
        <w:pStyle w:val="FirstParagraph"/>
      </w:pPr>
      <w:r>
        <w:drawing>
          <wp:inline>
            <wp:extent cx="2857500" cy="1905000"/>
            <wp:effectExtent b="0" l="0" r="0" t="0"/>
            <wp:docPr descr="" title="" id="26" name="Picture"/>
            <a:graphic>
              <a:graphicData uri="http://schemas.openxmlformats.org/drawingml/2006/picture">
                <pic:pic>
                  <pic:nvPicPr>
                    <pic:cNvPr descr="images/pine_needles.jpg" id="27" name="Picture"/>
                    <pic:cNvPicPr>
                      <a:picLocks noChangeArrowheads="1" noChangeAspect="1"/>
                    </pic:cNvPicPr>
                  </pic:nvPicPr>
                  <pic:blipFill>
                    <a:blip r:embed="rId25"/>
                    <a:stretch>
                      <a:fillRect/>
                    </a:stretch>
                  </pic:blipFill>
                  <pic:spPr bwMode="auto">
                    <a:xfrm>
                      <a:off x="0" y="0"/>
                      <a:ext cx="2857500" cy="1905000"/>
                    </a:xfrm>
                    <a:prstGeom prst="rect">
                      <a:avLst/>
                    </a:prstGeom>
                    <a:noFill/>
                    <a:ln w="9525">
                      <a:noFill/>
                      <a:headEnd/>
                      <a:tailEnd/>
                    </a:ln>
                  </pic:spPr>
                </pic:pic>
              </a:graphicData>
            </a:graphic>
          </wp:inline>
        </w:drawing>
      </w:r>
    </w:p>
    <w:bookmarkEnd w:id="28"/>
    <w:bookmarkStart w:id="32" w:name="lecture-6-statistical-hypothesis-testing"/>
    <w:p>
      <w:pPr>
        <w:pStyle w:val="Heading1"/>
      </w:pPr>
      <w:r>
        <w:rPr>
          <w:b/>
          <w:bCs/>
        </w:rPr>
        <w:t xml:space="preserve">Lecture 6:</w:t>
      </w:r>
      <w:r>
        <w:t xml:space="preserve"> </w:t>
      </w:r>
      <w:r>
        <w:t xml:space="preserve">Statistical hypothesis testing</w:t>
      </w:r>
    </w:p>
    <w:p>
      <w:pPr>
        <w:pStyle w:val="Compact"/>
        <w:numPr>
          <w:ilvl w:val="0"/>
          <w:numId w:val="1003"/>
        </w:numPr>
      </w:pPr>
      <w:r>
        <w:t xml:space="preserve">Major goal of statistics:</w:t>
      </w:r>
    </w:p>
    <w:p>
      <w:pPr>
        <w:pStyle w:val="Compact"/>
        <w:numPr>
          <w:ilvl w:val="1"/>
          <w:numId w:val="1004"/>
        </w:numPr>
      </w:pPr>
      <w:r>
        <w:t xml:space="preserve">inferences about populations from samples…</w:t>
      </w:r>
    </w:p>
    <w:p>
      <w:pPr>
        <w:pStyle w:val="Compact"/>
        <w:numPr>
          <w:ilvl w:val="2"/>
          <w:numId w:val="1005"/>
        </w:numPr>
      </w:pPr>
      <w:r>
        <w:t xml:space="preserve">assign degree of confidence to inferences</w:t>
      </w:r>
    </w:p>
    <w:p>
      <w:pPr>
        <w:pStyle w:val="Compact"/>
        <w:numPr>
          <w:ilvl w:val="1"/>
          <w:numId w:val="1004"/>
        </w:numPr>
      </w:pPr>
      <w:r>
        <w:t xml:space="preserve">Statistical hypothesis testing:</w:t>
      </w:r>
    </w:p>
    <w:p>
      <w:pPr>
        <w:pStyle w:val="Compact"/>
        <w:numPr>
          <w:ilvl w:val="2"/>
          <w:numId w:val="1006"/>
        </w:numPr>
      </w:pPr>
      <w:r>
        <w:t xml:space="preserve">formalized approach to inference</w:t>
      </w:r>
    </w:p>
    <w:p>
      <w:pPr>
        <w:pStyle w:val="Compact"/>
        <w:numPr>
          <w:ilvl w:val="1"/>
          <w:numId w:val="1004"/>
        </w:numPr>
      </w:pPr>
      <w:r>
        <w:t xml:space="preserve">Hypotheses ask whether samples come from populations with certain properties</w:t>
      </w:r>
    </w:p>
    <w:p>
      <w:pPr>
        <w:pStyle w:val="Compact"/>
        <w:numPr>
          <w:ilvl w:val="1"/>
          <w:numId w:val="1004"/>
        </w:numPr>
      </w:pPr>
      <w:r>
        <w:t xml:space="preserve">Often interested in questions about population means</w:t>
      </w:r>
    </w:p>
    <w:p>
      <w:pPr>
        <w:pStyle w:val="Compact"/>
        <w:numPr>
          <w:ilvl w:val="2"/>
          <w:numId w:val="1007"/>
        </w:numPr>
      </w:pPr>
      <w:r>
        <w:t xml:space="preserve">but other questions are of interest</w:t>
      </w:r>
    </w:p>
    <w:p>
      <w:pPr>
        <w:pStyle w:val="FirstParagraph"/>
      </w:pPr>
      <w:r>
        <w:drawing>
          <wp:inline>
            <wp:extent cx="2857500" cy="2381250"/>
            <wp:effectExtent b="0" l="0" r="0" t="0"/>
            <wp:docPr descr="" title="" id="30" name="Picture"/>
            <a:graphic>
              <a:graphicData uri="http://schemas.openxmlformats.org/drawingml/2006/picture">
                <pic:pic>
                  <pic:nvPicPr>
                    <pic:cNvPr descr="images/pine_tree.png" id="31" name="Picture"/>
                    <pic:cNvPicPr>
                      <a:picLocks noChangeArrowheads="1" noChangeAspect="1"/>
                    </pic:cNvPicPr>
                  </pic:nvPicPr>
                  <pic:blipFill>
                    <a:blip r:embed="rId29"/>
                    <a:stretch>
                      <a:fillRect/>
                    </a:stretch>
                  </pic:blipFill>
                  <pic:spPr bwMode="auto">
                    <a:xfrm>
                      <a:off x="0" y="0"/>
                      <a:ext cx="2857500" cy="2381250"/>
                    </a:xfrm>
                    <a:prstGeom prst="rect">
                      <a:avLst/>
                    </a:prstGeom>
                    <a:noFill/>
                    <a:ln w="9525">
                      <a:noFill/>
                      <a:headEnd/>
                      <a:tailEnd/>
                    </a:ln>
                  </pic:spPr>
                </pic:pic>
              </a:graphicData>
            </a:graphic>
          </wp:inline>
        </w:drawing>
      </w:r>
    </w:p>
    <w:bookmarkEnd w:id="32"/>
    <w:bookmarkStart w:id="36" w:name="lecture-6-hypothesis-components"/>
    <w:p>
      <w:pPr>
        <w:pStyle w:val="Heading1"/>
      </w:pPr>
      <w:r>
        <w:rPr>
          <w:b/>
          <w:bCs/>
        </w:rPr>
        <w:t xml:space="preserve">Lecture 6:</w:t>
      </w:r>
      <w:r>
        <w:t xml:space="preserve"> </w:t>
      </w:r>
      <w:r>
        <w:t xml:space="preserve">Hypothesis Components</w:t>
      </w:r>
    </w:p>
    <w:p>
      <w:pPr>
        <w:pStyle w:val="FirstParagraph"/>
      </w:pPr>
      <w:r>
        <w:t xml:space="preserve">Useful hypotheses:</w:t>
      </w:r>
    </w:p>
    <w:p>
      <w:pPr>
        <w:numPr>
          <w:ilvl w:val="0"/>
          <w:numId w:val="1008"/>
        </w:numPr>
      </w:pPr>
      <w:r>
        <w:t xml:space="preserve">Rely on specifying</w:t>
      </w:r>
    </w:p>
    <w:p>
      <w:pPr>
        <w:numPr>
          <w:ilvl w:val="1"/>
          <w:numId w:val="1009"/>
        </w:numPr>
      </w:pPr>
      <w:r>
        <w:t xml:space="preserve">Ho is the hypothesis of</w:t>
      </w:r>
      <w:r>
        <w:t xml:space="preserve"> </w:t>
      </w:r>
      <w:r>
        <w:t xml:space="preserve">“no effect”</w:t>
      </w:r>
    </w:p>
    <w:p>
      <w:pPr>
        <w:pStyle w:val="Compact"/>
        <w:numPr>
          <w:ilvl w:val="2"/>
          <w:numId w:val="1010"/>
        </w:numPr>
      </w:pPr>
      <w:r>
        <w:t xml:space="preserve">two samples from population with same mean</w:t>
      </w:r>
    </w:p>
    <w:p>
      <w:pPr>
        <w:pStyle w:val="Compact"/>
        <w:numPr>
          <w:ilvl w:val="2"/>
          <w:numId w:val="1010"/>
        </w:numPr>
      </w:pPr>
      <w:r>
        <w:t xml:space="preserve">sample is from population of mean = X</w:t>
      </w:r>
    </w:p>
    <w:p>
      <w:pPr>
        <w:numPr>
          <w:ilvl w:val="1"/>
          <w:numId w:val="1009"/>
        </w:numPr>
      </w:pPr>
      <w:r>
        <w:t xml:space="preserve">Ha (research or alternate hypothesis)</w:t>
      </w:r>
    </w:p>
    <w:p>
      <w:pPr>
        <w:pStyle w:val="Compact"/>
        <w:numPr>
          <w:ilvl w:val="2"/>
          <w:numId w:val="1011"/>
        </w:numPr>
      </w:pPr>
      <w:r>
        <w:t xml:space="preserve">is the opposite of the Ho</w:t>
      </w:r>
    </w:p>
    <w:p>
      <w:pPr>
        <w:pStyle w:val="Compact"/>
        <w:numPr>
          <w:ilvl w:val="2"/>
          <w:numId w:val="1011"/>
        </w:numPr>
      </w:pPr>
      <w:r>
        <w:t xml:space="preserve">or predicts that there is an effect of x on y</w:t>
      </w:r>
    </w:p>
    <w:p>
      <w:pPr>
        <w:pStyle w:val="Compact"/>
        <w:numPr>
          <w:ilvl w:val="2"/>
          <w:numId w:val="1011"/>
        </w:numPr>
      </w:pPr>
      <w:r>
        <w:rPr>
          <w:i/>
          <w:iCs/>
        </w:rPr>
        <w:t xml:space="preserve">but does NOT suggest a direction which is a prediction</w:t>
      </w:r>
    </w:p>
    <w:p>
      <w:pPr>
        <w:pStyle w:val="FirstParagraph"/>
      </w:pPr>
      <w:r>
        <w:drawing>
          <wp:inline>
            <wp:extent cx="2857500" cy="2381250"/>
            <wp:effectExtent b="0" l="0" r="0" t="0"/>
            <wp:docPr descr="" title="" id="34" name="Picture"/>
            <a:graphic>
              <a:graphicData uri="http://schemas.openxmlformats.org/drawingml/2006/picture">
                <pic:pic>
                  <pic:nvPicPr>
                    <pic:cNvPr descr="images/two_branches.jpg" id="35" name="Picture"/>
                    <pic:cNvPicPr>
                      <a:picLocks noChangeArrowheads="1" noChangeAspect="1"/>
                    </pic:cNvPicPr>
                  </pic:nvPicPr>
                  <pic:blipFill>
                    <a:blip r:embed="rId33"/>
                    <a:stretch>
                      <a:fillRect/>
                    </a:stretch>
                  </pic:blipFill>
                  <pic:spPr bwMode="auto">
                    <a:xfrm>
                      <a:off x="0" y="0"/>
                      <a:ext cx="2857500" cy="2381250"/>
                    </a:xfrm>
                    <a:prstGeom prst="rect">
                      <a:avLst/>
                    </a:prstGeom>
                    <a:noFill/>
                    <a:ln w="9525">
                      <a:noFill/>
                      <a:headEnd/>
                      <a:tailEnd/>
                    </a:ln>
                  </pic:spPr>
                </pic:pic>
              </a:graphicData>
            </a:graphic>
          </wp:inline>
        </w:drawing>
      </w:r>
    </w:p>
    <w:bookmarkEnd w:id="36"/>
    <w:bookmarkStart w:id="39" w:name="lecture-6-hypothesis-examples"/>
    <w:p>
      <w:pPr>
        <w:pStyle w:val="Heading1"/>
      </w:pPr>
      <w:r>
        <w:rPr>
          <w:b/>
          <w:bCs/>
        </w:rPr>
        <w:t xml:space="preserve">Lecture 6:</w:t>
      </w:r>
      <w:r>
        <w:t xml:space="preserve"> </w:t>
      </w:r>
      <w:r>
        <w:t xml:space="preserve">Hypothesis Examples</w:t>
      </w:r>
    </w:p>
    <w:p>
      <w:pPr>
        <w:pStyle w:val="FirstParagraph"/>
      </w:pPr>
      <w:r>
        <w:t xml:space="preserve">Together Ho and Ha encompass all possible outcomes:</w:t>
      </w:r>
    </w:p>
    <w:p>
      <w:pPr>
        <w:numPr>
          <w:ilvl w:val="0"/>
          <w:numId w:val="1012"/>
        </w:numPr>
      </w:pPr>
      <w:r>
        <w:t xml:space="preserve">Ho: µ=0, Ha: µ ≠ 0</w:t>
      </w:r>
    </w:p>
    <w:p>
      <w:pPr>
        <w:pStyle w:val="Compact"/>
        <w:numPr>
          <w:ilvl w:val="1"/>
          <w:numId w:val="1013"/>
        </w:numPr>
      </w:pPr>
      <w:r>
        <w:t xml:space="preserve">mean equals 0 or mean does not equal 0</w:t>
      </w:r>
    </w:p>
    <w:p>
      <w:pPr>
        <w:numPr>
          <w:ilvl w:val="0"/>
          <w:numId w:val="1012"/>
        </w:numPr>
      </w:pPr>
      <w:r>
        <w:t xml:space="preserve">Ho: µ = 35, Ha: µ ≠ 35</w:t>
      </w:r>
    </w:p>
    <w:p>
      <w:pPr>
        <w:pStyle w:val="Compact"/>
        <w:numPr>
          <w:ilvl w:val="1"/>
          <w:numId w:val="1014"/>
        </w:numPr>
      </w:pPr>
      <w:r>
        <w:t xml:space="preserve">mean equals 35 or mean does not equal 35</w:t>
      </w:r>
    </w:p>
    <w:p>
      <w:pPr>
        <w:numPr>
          <w:ilvl w:val="0"/>
          <w:numId w:val="1012"/>
        </w:numPr>
      </w:pPr>
      <w:r>
        <w:t xml:space="preserve">Ho: µ1 = µ2, Ha: µ1 ≠ µ2</w:t>
      </w:r>
    </w:p>
    <w:p>
      <w:pPr>
        <w:pStyle w:val="Compact"/>
        <w:numPr>
          <w:ilvl w:val="1"/>
          <w:numId w:val="1015"/>
        </w:numPr>
      </w:pPr>
      <w:r>
        <w:t xml:space="preserve">mean of population 1 equals mean of population 2 or it does not</w:t>
      </w:r>
    </w:p>
    <w:p>
      <w:pPr>
        <w:numPr>
          <w:ilvl w:val="0"/>
          <w:numId w:val="1012"/>
        </w:numPr>
      </w:pPr>
      <w:r>
        <w:t xml:space="preserve">Ho: µ &gt; 0, Ha: µ ≤ 0</w:t>
      </w:r>
    </w:p>
    <w:p>
      <w:pPr>
        <w:numPr>
          <w:ilvl w:val="1"/>
          <w:numId w:val="1016"/>
        </w:numPr>
      </w:pPr>
      <w:r>
        <w:t xml:space="preserve">can be directional mean is greater than 0 or mean is not equal or less than 0</w:t>
      </w:r>
    </w:p>
    <w:p>
      <w:pPr>
        <w:numPr>
          <w:ilvl w:val="1"/>
          <w:numId w:val="1016"/>
        </w:numPr>
      </w:pPr>
      <w:r>
        <w:t xml:space="preserve">this becomes a one sided test as it predicts only one direction</w:t>
      </w:r>
    </w:p>
    <w:p>
      <w:pPr>
        <w:pStyle w:val="FirstParagraph"/>
      </w:pPr>
      <w:r>
        <w:drawing>
          <wp:inline>
            <wp:extent cx="2857500" cy="2381250"/>
            <wp:effectExtent b="0" l="0" r="0" t="0"/>
            <wp:docPr descr="" title="" id="37" name="Picture"/>
            <a:graphic>
              <a:graphicData uri="http://schemas.openxmlformats.org/drawingml/2006/picture">
                <pic:pic>
                  <pic:nvPicPr>
                    <pic:cNvPr descr="images/two_branches.jpg" id="38" name="Picture"/>
                    <pic:cNvPicPr>
                      <a:picLocks noChangeArrowheads="1" noChangeAspect="1"/>
                    </pic:cNvPicPr>
                  </pic:nvPicPr>
                  <pic:blipFill>
                    <a:blip r:embed="rId33"/>
                    <a:stretch>
                      <a:fillRect/>
                    </a:stretch>
                  </pic:blipFill>
                  <pic:spPr bwMode="auto">
                    <a:xfrm>
                      <a:off x="0" y="0"/>
                      <a:ext cx="2857500" cy="2381250"/>
                    </a:xfrm>
                    <a:prstGeom prst="rect">
                      <a:avLst/>
                    </a:prstGeom>
                    <a:noFill/>
                    <a:ln w="9525">
                      <a:noFill/>
                      <a:headEnd/>
                      <a:tailEnd/>
                    </a:ln>
                  </pic:spPr>
                </pic:pic>
              </a:graphicData>
            </a:graphic>
          </wp:inline>
        </w:drawing>
      </w:r>
    </w:p>
    <w:bookmarkEnd w:id="39"/>
    <w:bookmarkStart w:id="42" w:name="lecture-6-statistical-testing-framework"/>
    <w:p>
      <w:pPr>
        <w:pStyle w:val="Heading1"/>
      </w:pPr>
      <w:r>
        <w:rPr>
          <w:b/>
          <w:bCs/>
        </w:rPr>
        <w:t xml:space="preserve">Lecture 6:</w:t>
      </w:r>
      <w:r>
        <w:t xml:space="preserve"> </w:t>
      </w:r>
      <w:r>
        <w:t xml:space="preserve">Statistical Testing Framework</w:t>
      </w:r>
    </w:p>
    <w:p>
      <w:pPr>
        <w:pStyle w:val="FirstParagraph"/>
      </w:pPr>
      <w:r>
        <w:t xml:space="preserve">Statistical tests assess likelihood of the null hypothesis being true</w:t>
      </w:r>
    </w:p>
    <w:p>
      <w:pPr>
        <w:pStyle w:val="Compact"/>
        <w:numPr>
          <w:ilvl w:val="0"/>
          <w:numId w:val="1017"/>
        </w:numPr>
      </w:pPr>
      <w:r>
        <w:t xml:space="preserve">If the Ho is likely false, then Ha assumed to be correct</w:t>
      </w:r>
    </w:p>
    <w:p>
      <w:pPr>
        <w:pStyle w:val="Compact"/>
        <w:numPr>
          <w:ilvl w:val="0"/>
          <w:numId w:val="1017"/>
        </w:numPr>
      </w:pPr>
      <w:r>
        <w:t xml:space="preserve">More precisely:</w:t>
      </w:r>
    </w:p>
    <w:p>
      <w:pPr>
        <w:pStyle w:val="Compact"/>
        <w:numPr>
          <w:ilvl w:val="1"/>
          <w:numId w:val="1018"/>
        </w:numPr>
      </w:pPr>
      <w:r>
        <w:t xml:space="preserve">the long run probability of obtaining sample value (or more extreme one) if the null hypothesis is true</w:t>
      </w:r>
    </w:p>
    <w:p>
      <w:pPr>
        <w:pStyle w:val="Compact"/>
        <w:numPr>
          <w:ilvl w:val="2"/>
          <w:numId w:val="1019"/>
        </w:numPr>
      </w:pPr>
      <w:r>
        <w:t xml:space="preserve">p(data|Ho) - the probability of observing the data given that the null hypothesis Ho is true</w:t>
      </w:r>
    </w:p>
    <w:p>
      <w:pPr>
        <w:pStyle w:val="FirstParagraph"/>
      </w:pPr>
      <w:r>
        <w:drawing>
          <wp:inline>
            <wp:extent cx="2857500" cy="2381250"/>
            <wp:effectExtent b="0" l="0" r="0" t="0"/>
            <wp:docPr descr="" title="" id="40" name="Picture"/>
            <a:graphic>
              <a:graphicData uri="http://schemas.openxmlformats.org/drawingml/2006/picture">
                <pic:pic>
                  <pic:nvPicPr>
                    <pic:cNvPr descr="images/two_branches.jpg" id="41" name="Picture"/>
                    <pic:cNvPicPr>
                      <a:picLocks noChangeArrowheads="1" noChangeAspect="1"/>
                    </pic:cNvPicPr>
                  </pic:nvPicPr>
                  <pic:blipFill>
                    <a:blip r:embed="rId33"/>
                    <a:stretch>
                      <a:fillRect/>
                    </a:stretch>
                  </pic:blipFill>
                  <pic:spPr bwMode="auto">
                    <a:xfrm>
                      <a:off x="0" y="0"/>
                      <a:ext cx="2857500" cy="2381250"/>
                    </a:xfrm>
                    <a:prstGeom prst="rect">
                      <a:avLst/>
                    </a:prstGeom>
                    <a:noFill/>
                    <a:ln w="9525">
                      <a:noFill/>
                      <a:headEnd/>
                      <a:tailEnd/>
                    </a:ln>
                  </pic:spPr>
                </pic:pic>
              </a:graphicData>
            </a:graphic>
          </wp:inline>
        </w:drawing>
      </w:r>
    </w:p>
    <w:bookmarkEnd w:id="42"/>
    <w:bookmarkStart w:id="45" w:name="lecture-6-understanding-p-values"/>
    <w:p>
      <w:pPr>
        <w:pStyle w:val="Heading1"/>
      </w:pPr>
      <w:r>
        <w:rPr>
          <w:b/>
          <w:bCs/>
        </w:rPr>
        <w:t xml:space="preserve">Lecture 6:</w:t>
      </w:r>
      <w:r>
        <w:t xml:space="preserve"> </w:t>
      </w:r>
      <w:r>
        <w:t xml:space="preserve">Understanding P-values</w:t>
      </w:r>
    </w:p>
    <w:p>
      <w:pPr>
        <w:pStyle w:val="FirstParagraph"/>
      </w:pPr>
      <w:r>
        <w:t xml:space="preserve">Hypothesis tests</w:t>
      </w:r>
    </w:p>
    <w:p>
      <w:pPr>
        <w:pStyle w:val="Compact"/>
        <w:numPr>
          <w:ilvl w:val="0"/>
          <w:numId w:val="1020"/>
        </w:numPr>
      </w:pPr>
      <w:r>
        <w:t xml:space="preserve">Expressed as p-value (0-never to 1-always )</w:t>
      </w:r>
    </w:p>
    <w:p>
      <w:pPr>
        <w:pStyle w:val="Compact"/>
        <w:numPr>
          <w:ilvl w:val="0"/>
          <w:numId w:val="1020"/>
        </w:numPr>
      </w:pPr>
      <w:r>
        <w:t xml:space="preserve">Interpret p-value as:</w:t>
      </w:r>
    </w:p>
    <w:p>
      <w:pPr>
        <w:pStyle w:val="Compact"/>
        <w:numPr>
          <w:ilvl w:val="1"/>
          <w:numId w:val="1021"/>
        </w:numPr>
      </w:pPr>
      <w:r>
        <w:t xml:space="preserve">probability of obtaining sample value of statistic (or more extreme one) if Ho is true</w:t>
      </w:r>
    </w:p>
    <w:p>
      <w:pPr>
        <w:pStyle w:val="Compact"/>
        <w:numPr>
          <w:ilvl w:val="0"/>
          <w:numId w:val="1020"/>
        </w:numPr>
      </w:pPr>
      <w:r>
        <w:t xml:space="preserve">High p-value:</w:t>
      </w:r>
    </w:p>
    <w:p>
      <w:pPr>
        <w:pStyle w:val="Compact"/>
        <w:numPr>
          <w:ilvl w:val="1"/>
          <w:numId w:val="1022"/>
        </w:numPr>
      </w:pPr>
      <w:r>
        <w:t xml:space="preserve">high probability of obtaining sample statistic under Ho</w:t>
      </w:r>
    </w:p>
    <w:p>
      <w:pPr>
        <w:pStyle w:val="Compact"/>
        <w:numPr>
          <w:ilvl w:val="2"/>
          <w:numId w:val="1023"/>
        </w:numPr>
      </w:pPr>
      <w:r>
        <w:t xml:space="preserve">if the null hypothesis (Ho) were true, you would frequently observe data similar to your sample statistic</w:t>
      </w:r>
    </w:p>
    <w:p>
      <w:pPr>
        <w:pStyle w:val="Compact"/>
        <w:numPr>
          <w:ilvl w:val="2"/>
          <w:numId w:val="1023"/>
        </w:numPr>
      </w:pPr>
      <w:r>
        <w:t xml:space="preserve">your observed results are quite compatible with what the null hypothesis predicts</w:t>
      </w:r>
    </w:p>
    <w:p>
      <w:pPr>
        <w:pStyle w:val="Compact"/>
        <w:numPr>
          <w:ilvl w:val="0"/>
          <w:numId w:val="1020"/>
        </w:numPr>
      </w:pPr>
      <w:r>
        <w:t xml:space="preserve">Low p-value: low probability of obtaining sample statistic under Ho</w:t>
      </w:r>
    </w:p>
    <w:p>
      <w:pPr>
        <w:pStyle w:val="Compact"/>
        <w:numPr>
          <w:ilvl w:val="1"/>
          <w:numId w:val="1024"/>
        </w:numPr>
      </w:pPr>
      <w:r>
        <w:t xml:space="preserve">if the null hypothesis (Ho) were true, you would rarely observe data similar to or more extreme than your sample statistic</w:t>
      </w:r>
    </w:p>
    <w:p>
      <w:pPr>
        <w:pStyle w:val="Compact"/>
        <w:numPr>
          <w:ilvl w:val="1"/>
          <w:numId w:val="1024"/>
        </w:numPr>
      </w:pPr>
      <w:r>
        <w:t xml:space="preserve">Your results are unusual under the null hypothesis, suggesting that either you’ve witnessed a rare event or the null hypothesis may be incorrect</w:t>
      </w:r>
    </w:p>
    <w:p>
      <w:pPr>
        <w:pStyle w:val="FirstParagraph"/>
      </w:pPr>
      <w:r>
        <w:drawing>
          <wp:inline>
            <wp:extent cx="2857500" cy="2381250"/>
            <wp:effectExtent b="0" l="0" r="0" t="0"/>
            <wp:docPr descr="" title="" id="43" name="Picture"/>
            <a:graphic>
              <a:graphicData uri="http://schemas.openxmlformats.org/drawingml/2006/picture">
                <pic:pic>
                  <pic:nvPicPr>
                    <pic:cNvPr descr="images/two_branches.jpg" id="44" name="Picture"/>
                    <pic:cNvPicPr>
                      <a:picLocks noChangeArrowheads="1" noChangeAspect="1"/>
                    </pic:cNvPicPr>
                  </pic:nvPicPr>
                  <pic:blipFill>
                    <a:blip r:embed="rId33"/>
                    <a:stretch>
                      <a:fillRect/>
                    </a:stretch>
                  </pic:blipFill>
                  <pic:spPr bwMode="auto">
                    <a:xfrm>
                      <a:off x="0" y="0"/>
                      <a:ext cx="2857500" cy="2381250"/>
                    </a:xfrm>
                    <a:prstGeom prst="rect">
                      <a:avLst/>
                    </a:prstGeom>
                    <a:noFill/>
                    <a:ln w="9525">
                      <a:noFill/>
                      <a:headEnd/>
                      <a:tailEnd/>
                    </a:ln>
                  </pic:spPr>
                </pic:pic>
              </a:graphicData>
            </a:graphic>
          </wp:inline>
        </w:drawing>
      </w:r>
    </w:p>
    <w:bookmarkEnd w:id="45"/>
    <w:bookmarkStart w:id="46" w:name="lecture-6-p-value-interpretation"/>
    <w:p>
      <w:pPr>
        <w:pStyle w:val="Heading1"/>
      </w:pPr>
      <w:r>
        <w:rPr>
          <w:b/>
          <w:bCs/>
        </w:rPr>
        <w:t xml:space="preserve">Lecture 6:</w:t>
      </w:r>
      <w:r>
        <w:t xml:space="preserve"> </w:t>
      </w:r>
      <w:r>
        <w:t xml:space="preserve">P-value Interpretation</w:t>
      </w:r>
    </w:p>
    <w:p>
      <w:pPr>
        <w:pStyle w:val="FirstParagraph"/>
      </w:pPr>
      <w:r>
        <w:t xml:space="preserve">Statistical test results:</w:t>
      </w:r>
    </w:p>
    <w:p>
      <w:pPr>
        <w:numPr>
          <w:ilvl w:val="0"/>
          <w:numId w:val="1025"/>
        </w:numPr>
      </w:pPr>
      <w:r>
        <w:t xml:space="preserve">p = 0.3 means that if I repeated the study 100 times, I would get this (or more extreme) result due to chance 30 times</w:t>
      </w:r>
    </w:p>
    <w:p>
      <w:pPr>
        <w:numPr>
          <w:ilvl w:val="0"/>
          <w:numId w:val="1025"/>
        </w:numPr>
      </w:pPr>
      <w:r>
        <w:t xml:space="preserve">p = 0.03 means that if I repeated the study 100 times, I would get this (or more extreme) result due to chance 3 times</w:t>
      </w:r>
    </w:p>
    <w:p>
      <w:pPr>
        <w:pStyle w:val="FirstParagraph"/>
      </w:pPr>
      <w:r>
        <w:rPr>
          <w:i/>
          <w:iCs/>
        </w:rPr>
        <w:t xml:space="preserve">Which p-value suggests Ho likely false?</w:t>
      </w:r>
    </w:p>
    <w:p>
      <w:pPr>
        <w:pStyle w:val="BodyText"/>
      </w:pPr>
      <w:r>
        <w:t xml:space="preserve">At what point reject Ho?</w:t>
      </w:r>
    </w:p>
    <w:p>
      <w:pPr>
        <w:pStyle w:val="BodyText"/>
      </w:pPr>
      <w:r>
        <w:t xml:space="preserve">p &lt; 0.05 conventional</w:t>
      </w:r>
      <w:r>
        <w:t xml:space="preserve"> </w:t>
      </w:r>
      <w:r>
        <w:t xml:space="preserve">“significance threshold”</w:t>
      </w:r>
      <w:r>
        <w:t xml:space="preserve"> </w:t>
      </w:r>
      <w:r>
        <w:t xml:space="preserve">(α = alpha or p value)</w:t>
      </w:r>
    </w:p>
    <w:p>
      <w:pPr>
        <w:pStyle w:val="BodyText"/>
      </w:pPr>
      <w:r>
        <w:t xml:space="preserve">p &lt; 0.05 means: if Ho is true and we repeated the study 100 times</w:t>
      </w:r>
    </w:p>
    <w:p>
      <w:pPr>
        <w:pStyle w:val="Compact"/>
        <w:numPr>
          <w:ilvl w:val="0"/>
          <w:numId w:val="1026"/>
        </w:numPr>
      </w:pPr>
      <w:r>
        <w:t xml:space="preserve">we would get this (or more extreme) result less than 5 times due to chance</w:t>
      </w:r>
    </w:p>
    <w:bookmarkEnd w:id="46"/>
    <w:bookmarkStart w:id="47" w:name="Xd0dab4b86a5e183f879f327ae778e37ef10036a"/>
    <w:p>
      <w:pPr>
        <w:pStyle w:val="Heading1"/>
      </w:pPr>
      <w:r>
        <w:rPr>
          <w:b/>
          <w:bCs/>
        </w:rPr>
        <w:t xml:space="preserve">Lecture 6:</w:t>
      </w:r>
      <w:r>
        <w:t xml:space="preserve"> </w:t>
      </w:r>
      <w:r>
        <w:t xml:space="preserve">Significance Levels and Interpretation</w:t>
      </w:r>
    </w:p>
    <w:p>
      <w:pPr>
        <w:pStyle w:val="FirstParagraph"/>
      </w:pPr>
      <w:r>
        <w:t xml:space="preserve">Statistical test results:</w:t>
      </w:r>
    </w:p>
    <w:p>
      <w:pPr>
        <w:pStyle w:val="Compact"/>
        <w:numPr>
          <w:ilvl w:val="0"/>
          <w:numId w:val="1027"/>
        </w:numPr>
      </w:pPr>
      <w:r>
        <w:t xml:space="preserve">α is the rate at which we will reject a true null hypothesis (Type I error rate)</w:t>
      </w:r>
    </w:p>
    <w:p>
      <w:pPr>
        <w:pStyle w:val="Compact"/>
        <w:numPr>
          <w:ilvl w:val="0"/>
          <w:numId w:val="1027"/>
        </w:numPr>
      </w:pPr>
      <w:r>
        <w:t xml:space="preserve">Lowering α will lower likelihood of incorrectly rejecting a true null hypothesis (e.g., 0.01, 0.001)</w:t>
      </w:r>
    </w:p>
    <w:p>
      <w:pPr>
        <w:pStyle w:val="Compact"/>
        <w:numPr>
          <w:ilvl w:val="0"/>
          <w:numId w:val="1027"/>
        </w:numPr>
      </w:pPr>
      <w:r>
        <w:rPr>
          <w:i/>
          <w:iCs/>
        </w:rPr>
        <w:t xml:space="preserve">Both Hs and α are specified</w:t>
      </w:r>
      <w:r>
        <w:t xml:space="preserve"> </w:t>
      </w:r>
      <w:r>
        <w:rPr>
          <w:i/>
          <w:iCs/>
        </w:rPr>
        <w:t xml:space="preserve">BEFORE collection of data and analysis</w:t>
      </w:r>
    </w:p>
    <w:p>
      <w:pPr>
        <w:pStyle w:val="FirstParagraph"/>
      </w:pPr>
      <w:r>
        <w:t xml:space="preserve">Traditionally α=0.05 is used as a cut off for rejecting null hypothesis</w:t>
      </w:r>
    </w:p>
    <w:p>
      <w:pPr>
        <w:pStyle w:val="BodyText"/>
      </w:pPr>
      <w:r>
        <w:t xml:space="preserve">There is nothing magical about 0.05 - actual p-values need to be reported - also need to decide prior to study</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p-value range</w:t>
            </w:r>
          </w:p>
        </w:tc>
        <w:tc>
          <w:tcPr/>
          <w:p>
            <w:pPr>
              <w:pStyle w:val="Compact"/>
            </w:pPr>
            <w:r>
              <w:t xml:space="preserve">Interpretation</w:t>
            </w:r>
          </w:p>
        </w:tc>
      </w:tr>
      <w:tr>
        <w:tc>
          <w:tcPr/>
          <w:p>
            <w:pPr>
              <w:pStyle w:val="Compact"/>
            </w:pPr>
            <w:r>
              <w:t xml:space="preserve">P &gt; 0.10</w:t>
            </w:r>
          </w:p>
        </w:tc>
        <w:tc>
          <w:tcPr/>
          <w:p>
            <w:pPr>
              <w:pStyle w:val="Compact"/>
            </w:pPr>
            <w:r>
              <w:t xml:space="preserve">No evidence against Ho - data appear consistent with Ho</w:t>
            </w:r>
          </w:p>
        </w:tc>
      </w:tr>
      <w:tr>
        <w:tc>
          <w:tcPr/>
          <w:p>
            <w:pPr>
              <w:pStyle w:val="Compact"/>
            </w:pPr>
            <w:r>
              <w:t xml:space="preserve">0.05 &lt; P &lt; 0.10</w:t>
            </w:r>
          </w:p>
        </w:tc>
        <w:tc>
          <w:tcPr/>
          <w:p>
            <w:pPr>
              <w:pStyle w:val="Compact"/>
            </w:pPr>
            <w:r>
              <w:t xml:space="preserve">Weak evidence against the Ho in favor of Ha</w:t>
            </w:r>
          </w:p>
        </w:tc>
      </w:tr>
      <w:tr>
        <w:tc>
          <w:tcPr/>
          <w:p>
            <w:pPr>
              <w:pStyle w:val="Compact"/>
            </w:pPr>
            <w:r>
              <w:t xml:space="preserve">0.01 &lt; P &lt; 0.05</w:t>
            </w:r>
          </w:p>
        </w:tc>
        <w:tc>
          <w:tcPr/>
          <w:p>
            <w:pPr>
              <w:pStyle w:val="Compact"/>
            </w:pPr>
            <w:r>
              <w:t xml:space="preserve">Moderate evidence against Ho in favor of Ha</w:t>
            </w:r>
          </w:p>
        </w:tc>
      </w:tr>
      <w:tr>
        <w:tc>
          <w:tcPr/>
          <w:p>
            <w:pPr>
              <w:pStyle w:val="Compact"/>
            </w:pPr>
            <w:r>
              <w:t xml:space="preserve">0.001 &lt; P &lt; 0.01</w:t>
            </w:r>
          </w:p>
        </w:tc>
        <w:tc>
          <w:tcPr/>
          <w:p>
            <w:pPr>
              <w:pStyle w:val="Compact"/>
            </w:pPr>
            <w:r>
              <w:t xml:space="preserve">Strong evidence against Ho in favor of Ha</w:t>
            </w:r>
          </w:p>
        </w:tc>
      </w:tr>
      <w:tr>
        <w:tc>
          <w:tcPr/>
          <w:p>
            <w:pPr>
              <w:pStyle w:val="Compact"/>
            </w:pPr>
            <w:r>
              <w:t xml:space="preserve">P &lt; 0.001</w:t>
            </w:r>
          </w:p>
        </w:tc>
        <w:tc>
          <w:tcPr/>
          <w:p>
            <w:pPr>
              <w:pStyle w:val="Compact"/>
            </w:pPr>
            <w:r>
              <w:t xml:space="preserve">Very strong evidence against Ho in favor of Ha</w:t>
            </w:r>
          </w:p>
        </w:tc>
      </w:tr>
    </w:tbl>
    <w:bookmarkEnd w:id="47"/>
    <w:bookmarkStart w:id="51" w:name="X6e663ac9a8bad81960e7bd691cc07b7c2aae830"/>
    <w:p>
      <w:pPr>
        <w:pStyle w:val="Heading1"/>
      </w:pPr>
      <w:r>
        <w:rPr>
          <w:b/>
          <w:bCs/>
        </w:rPr>
        <w:t xml:space="preserve">Lecture 6:</w:t>
      </w:r>
      <w:r>
        <w:t xml:space="preserve"> </w:t>
      </w:r>
      <w:r>
        <w:t xml:space="preserve">Understanding P-values Visually</w:t>
      </w:r>
    </w:p>
    <w:p>
      <w:pPr>
        <w:pStyle w:val="FirstParagraph"/>
      </w:pPr>
      <w:r>
        <w:t xml:space="preserve">A</w:t>
      </w:r>
      <w:r>
        <w:t xml:space="preserve"> </w:t>
      </w:r>
      <w:r>
        <w:rPr>
          <w:b/>
          <w:bCs/>
        </w:rPr>
        <w:t xml:space="preserve">p-value</w:t>
      </w:r>
      <w:r>
        <w:t xml:space="preserve"> </w:t>
      </w:r>
      <w:r>
        <w:t xml:space="preserve">is the probability of observing the sample result (or something more extreme) if the null hypothesis is true.</w:t>
      </w:r>
    </w:p>
    <w:p>
      <w:pPr>
        <w:pStyle w:val="Compact"/>
        <w:numPr>
          <w:ilvl w:val="0"/>
          <w:numId w:val="1028"/>
        </w:numPr>
      </w:pPr>
      <w:r>
        <w:rPr>
          <w:b/>
          <w:bCs/>
        </w:rPr>
        <w:t xml:space="preserve">Common interpretations:</w:t>
      </w:r>
    </w:p>
    <w:p>
      <w:pPr>
        <w:pStyle w:val="Compact"/>
        <w:numPr>
          <w:ilvl w:val="1"/>
          <w:numId w:val="1029"/>
        </w:numPr>
      </w:pPr>
      <w:r>
        <w:t xml:space="preserve">p &lt; 0.05: Strong evidence against H₀</w:t>
      </w:r>
    </w:p>
    <w:p>
      <w:pPr>
        <w:pStyle w:val="Compact"/>
        <w:numPr>
          <w:ilvl w:val="1"/>
          <w:numId w:val="1029"/>
        </w:numPr>
      </w:pPr>
      <w:r>
        <w:t xml:space="preserve">0.05 ≤ p &lt; 0.10: Moderate evidence against H₀</w:t>
      </w:r>
    </w:p>
    <w:p>
      <w:pPr>
        <w:pStyle w:val="Compact"/>
        <w:numPr>
          <w:ilvl w:val="1"/>
          <w:numId w:val="1029"/>
        </w:numPr>
      </w:pPr>
      <w:r>
        <w:t xml:space="preserve">p ≥ 0.10: Insufficient evidence against H₀</w:t>
      </w:r>
    </w:p>
    <w:p>
      <w:pPr>
        <w:pStyle w:val="Compact"/>
        <w:numPr>
          <w:ilvl w:val="0"/>
          <w:numId w:val="1028"/>
        </w:numPr>
      </w:pPr>
      <w:r>
        <w:rPr>
          <w:b/>
          <w:bCs/>
        </w:rPr>
        <w:t xml:space="preserve">Common misinterpretations:</w:t>
      </w:r>
    </w:p>
    <w:p>
      <w:pPr>
        <w:numPr>
          <w:ilvl w:val="1"/>
          <w:numId w:val="1030"/>
        </w:numPr>
      </w:pPr>
      <w:r>
        <w:t xml:space="preserve">p-value is NOT the probability that H₀ is true</w:t>
      </w:r>
    </w:p>
    <w:p>
      <w:pPr>
        <w:numPr>
          <w:ilvl w:val="1"/>
          <w:numId w:val="1030"/>
        </w:numPr>
      </w:pPr>
      <w:r>
        <w:t xml:space="preserve">p-value is NOT the probability that results occurred by chance</w:t>
      </w:r>
    </w:p>
    <w:p>
      <w:pPr>
        <w:numPr>
          <w:ilvl w:val="1"/>
          <w:numId w:val="1030"/>
        </w:numPr>
      </w:pPr>
      <w:r>
        <w:t xml:space="preserve">Statistical significance ≠ practical significance</w:t>
      </w:r>
    </w:p>
    <w:p>
      <w:pPr>
        <w:pStyle w:val="Compact"/>
        <w:numPr>
          <w:ilvl w:val="0"/>
          <w:numId w:val="1028"/>
        </w:numPr>
      </w:pPr>
      <w:r>
        <w:t xml:space="preserve">Note that there is a difference in how to state the hypotheses</w:t>
      </w:r>
    </w:p>
    <w:p>
      <w:pPr>
        <w:numPr>
          <w:ilvl w:val="1"/>
          <w:numId w:val="1031"/>
        </w:numPr>
      </w:pPr>
      <w:r>
        <w:t xml:space="preserve">one sample TTEST</w:t>
      </w:r>
    </w:p>
    <w:p>
      <w:pPr>
        <w:numPr>
          <w:ilvl w:val="1"/>
          <w:numId w:val="1031"/>
        </w:numPr>
      </w:pPr>
      <w:r>
        <w:t xml:space="preserve">two sample TTEST</w:t>
      </w:r>
    </w:p>
    <w:p>
      <w:pPr>
        <w:pStyle w:val="FirstParagraph"/>
      </w:pPr>
      <w:r>
        <w:drawing>
          <wp:inline>
            <wp:extent cx="6578600" cy="6578600"/>
            <wp:effectExtent b="0" l="0" r="0" t="0"/>
            <wp:docPr descr="" title="" id="49" name="Picture"/>
            <a:graphic>
              <a:graphicData uri="http://schemas.openxmlformats.org/drawingml/2006/picture">
                <pic:pic>
                  <pic:nvPicPr>
                    <pic:cNvPr descr="06_01_lecture_powerpoint_files/figure-docx/unnamed-chunk-1-1.png" id="50" name="Picture"/>
                    <pic:cNvPicPr>
                      <a:picLocks noChangeArrowheads="1" noChangeAspect="1"/>
                    </pic:cNvPicPr>
                  </pic:nvPicPr>
                  <pic:blipFill>
                    <a:blip r:embed="rId48"/>
                    <a:stretch>
                      <a:fillRect/>
                    </a:stretch>
                  </pic:blipFill>
                  <pic:spPr bwMode="auto">
                    <a:xfrm>
                      <a:off x="0" y="0"/>
                      <a:ext cx="6578600" cy="6578600"/>
                    </a:xfrm>
                    <a:prstGeom prst="rect">
                      <a:avLst/>
                    </a:prstGeom>
                    <a:noFill/>
                    <a:ln w="9525">
                      <a:noFill/>
                      <a:headEnd/>
                      <a:tailEnd/>
                    </a:ln>
                  </pic:spPr>
                </pic:pic>
              </a:graphicData>
            </a:graphic>
          </wp:inline>
        </w:drawing>
      </w:r>
    </w:p>
    <w:bookmarkEnd w:id="51"/>
    <w:bookmarkStart w:id="55" w:name="lecture-6-historical-context"/>
    <w:p>
      <w:pPr>
        <w:pStyle w:val="Heading1"/>
      </w:pPr>
      <w:r>
        <w:rPr>
          <w:b/>
          <w:bCs/>
        </w:rPr>
        <w:t xml:space="preserve">Lecture 6:</w:t>
      </w:r>
      <w:r>
        <w:t xml:space="preserve"> </w:t>
      </w:r>
      <w:r>
        <w:t xml:space="preserve">Historical Context</w:t>
      </w:r>
    </w:p>
    <w:p>
      <w:pPr>
        <w:pStyle w:val="FirstParagraph"/>
      </w:pPr>
      <w:r>
        <w:drawing>
          <wp:inline>
            <wp:extent cx="3810000" cy="2857500"/>
            <wp:effectExtent b="0" l="0" r="0" t="0"/>
            <wp:docPr descr="" title="" id="53" name="Picture"/>
            <a:graphic>
              <a:graphicData uri="http://schemas.openxmlformats.org/drawingml/2006/picture">
                <pic:pic>
                  <pic:nvPicPr>
                    <pic:cNvPr descr="images/clipboard-3329723408.png" id="54" name="Picture"/>
                    <pic:cNvPicPr>
                      <a:picLocks noChangeArrowheads="1" noChangeAspect="1"/>
                    </pic:cNvPicPr>
                  </pic:nvPicPr>
                  <pic:blipFill>
                    <a:blip r:embed="rId52"/>
                    <a:stretch>
                      <a:fillRect/>
                    </a:stretch>
                  </pic:blipFill>
                  <pic:spPr bwMode="auto">
                    <a:xfrm>
                      <a:off x="0" y="0"/>
                      <a:ext cx="3810000" cy="2857500"/>
                    </a:xfrm>
                    <a:prstGeom prst="rect">
                      <a:avLst/>
                    </a:prstGeom>
                    <a:noFill/>
                    <a:ln w="9525">
                      <a:noFill/>
                      <a:headEnd/>
                      <a:tailEnd/>
                    </a:ln>
                  </pic:spPr>
                </pic:pic>
              </a:graphicData>
            </a:graphic>
          </wp:inline>
        </w:drawing>
      </w:r>
    </w:p>
    <w:bookmarkEnd w:id="55"/>
    <w:bookmarkStart w:id="59" w:name="lecture-6-fishers-perspective"/>
    <w:p>
      <w:pPr>
        <w:pStyle w:val="Heading1"/>
      </w:pPr>
      <w:r>
        <w:rPr>
          <w:b/>
          <w:bCs/>
        </w:rPr>
        <w:t xml:space="preserve">Lecture 6:</w:t>
      </w:r>
      <w:r>
        <w:t xml:space="preserve"> </w:t>
      </w:r>
      <w:r>
        <w:t xml:space="preserve">Fisher’s Perspective</w:t>
      </w:r>
    </w:p>
    <w:p>
      <w:pPr>
        <w:pStyle w:val="FirstParagraph"/>
      </w:pPr>
      <w:r>
        <w:t xml:space="preserve">Fisher:</w:t>
      </w:r>
    </w:p>
    <w:p>
      <w:pPr>
        <w:pStyle w:val="BodyText"/>
      </w:pPr>
      <w:r>
        <w:t xml:space="preserve">p-value as informal measure of discrepancy between data and Ho</w:t>
      </w:r>
    </w:p>
    <w:p>
      <w:pPr>
        <w:pStyle w:val="BodyText"/>
      </w:pPr>
      <w:r>
        <w:t xml:space="preserve">“If p is between 0.1 and 0.9 there is certainly no reason to suspect the hypothesis tested. If it is below 0.02 it is strongly indicated that the hypothesis fails to account for the whole of the facts. We shall not often be astray if we draw a conventional line at .05 …”</w:t>
      </w:r>
    </w:p>
    <w:p>
      <w:pPr>
        <w:pStyle w:val="BodyText"/>
      </w:pPr>
      <w:r>
        <w:drawing>
          <wp:inline>
            <wp:extent cx="2857500" cy="2381250"/>
            <wp:effectExtent b="0" l="0" r="0" t="0"/>
            <wp:docPr descr="" title="" id="57" name="Picture"/>
            <a:graphic>
              <a:graphicData uri="http://schemas.openxmlformats.org/drawingml/2006/picture">
                <pic:pic>
                  <pic:nvPicPr>
                    <pic:cNvPr descr="images/clipboard-694363384.png" id="58" name="Picture"/>
                    <pic:cNvPicPr>
                      <a:picLocks noChangeArrowheads="1" noChangeAspect="1"/>
                    </pic:cNvPicPr>
                  </pic:nvPicPr>
                  <pic:blipFill>
                    <a:blip r:embed="rId56"/>
                    <a:stretch>
                      <a:fillRect/>
                    </a:stretch>
                  </pic:blipFill>
                  <pic:spPr bwMode="auto">
                    <a:xfrm>
                      <a:off x="0" y="0"/>
                      <a:ext cx="2857500" cy="2381250"/>
                    </a:xfrm>
                    <a:prstGeom prst="rect">
                      <a:avLst/>
                    </a:prstGeom>
                    <a:noFill/>
                    <a:ln w="9525">
                      <a:noFill/>
                      <a:headEnd/>
                      <a:tailEnd/>
                    </a:ln>
                  </pic:spPr>
                </pic:pic>
              </a:graphicData>
            </a:graphic>
          </wp:inline>
        </w:drawing>
      </w:r>
    </w:p>
    <w:bookmarkEnd w:id="59"/>
    <w:bookmarkStart w:id="63" w:name="decision-errors"/>
    <w:p>
      <w:pPr>
        <w:pStyle w:val="Heading1"/>
      </w:pPr>
      <w:r>
        <w:rPr>
          <w:b/>
          <w:bCs/>
        </w:rPr>
        <w:t xml:space="preserve">Decision errors</w:t>
      </w:r>
    </w:p>
    <w:p>
      <w:pPr>
        <w:pStyle w:val="Compact"/>
        <w:numPr>
          <w:ilvl w:val="0"/>
          <w:numId w:val="1032"/>
        </w:numPr>
      </w:pPr>
      <w:r>
        <w:t xml:space="preserve">Even good studies can reach incorrect conclusions</w:t>
      </w:r>
    </w:p>
    <w:p>
      <w:pPr>
        <w:pStyle w:val="Compact"/>
        <w:numPr>
          <w:ilvl w:val="0"/>
          <w:numId w:val="1032"/>
        </w:numPr>
      </w:pPr>
      <w:r>
        <w:t xml:space="preserve">“Decision errors”</w:t>
      </w:r>
    </w:p>
    <w:p>
      <w:pPr>
        <w:pStyle w:val="Compact"/>
        <w:numPr>
          <w:ilvl w:val="0"/>
          <w:numId w:val="1032"/>
        </w:numPr>
      </w:pPr>
      <w:r>
        <w:t xml:space="preserve">Two types of decision errors</w:t>
      </w:r>
    </w:p>
    <w:p>
      <w:pPr>
        <w:pStyle w:val="Compact"/>
        <w:numPr>
          <w:ilvl w:val="0"/>
          <w:numId w:val="1032"/>
        </w:numPr>
      </w:pPr>
      <w:r>
        <w:t xml:space="preserve">Want to know probability of making these errors</w:t>
      </w:r>
    </w:p>
    <w:p>
      <w:pPr>
        <w:pStyle w:val="FirstParagraph"/>
      </w:pPr>
      <w:r>
        <w:drawing>
          <wp:inline>
            <wp:extent cx="3333750" cy="2667000"/>
            <wp:effectExtent b="0" l="0" r="0" t="0"/>
            <wp:docPr descr="" title="" id="61" name="Picture"/>
            <a:graphic>
              <a:graphicData uri="http://schemas.openxmlformats.org/drawingml/2006/picture">
                <pic:pic>
                  <pic:nvPicPr>
                    <pic:cNvPr descr="images/clipboard-1430957016.png" id="62" name="Picture"/>
                    <pic:cNvPicPr>
                      <a:picLocks noChangeArrowheads="1" noChangeAspect="1"/>
                    </pic:cNvPicPr>
                  </pic:nvPicPr>
                  <pic:blipFill>
                    <a:blip r:embed="rId60"/>
                    <a:stretch>
                      <a:fillRect/>
                    </a:stretch>
                  </pic:blipFill>
                  <pic:spPr bwMode="auto">
                    <a:xfrm>
                      <a:off x="0" y="0"/>
                      <a:ext cx="3333750" cy="2667000"/>
                    </a:xfrm>
                    <a:prstGeom prst="rect">
                      <a:avLst/>
                    </a:prstGeom>
                    <a:noFill/>
                    <a:ln w="9525">
                      <a:noFill/>
                      <a:headEnd/>
                      <a:tailEnd/>
                    </a:ln>
                  </pic:spPr>
                </pic:pic>
              </a:graphicData>
            </a:graphic>
          </wp:inline>
        </w:drawing>
      </w:r>
    </w:p>
    <w:bookmarkEnd w:id="63"/>
    <w:bookmarkStart w:id="67" w:name="type-i-and-type-ii-errors---concept"/>
    <w:p>
      <w:pPr>
        <w:pStyle w:val="Heading1"/>
      </w:pPr>
      <w:r>
        <w:rPr>
          <w:b/>
          <w:bCs/>
        </w:rPr>
        <w:t xml:space="preserve">Type I and Type II Errors - Concept</w:t>
      </w:r>
    </w:p>
    <w:p>
      <w:pPr>
        <w:pStyle w:val="Compact"/>
        <w:numPr>
          <w:ilvl w:val="0"/>
          <w:numId w:val="1033"/>
        </w:numPr>
      </w:pPr>
      <w:r>
        <w:rPr>
          <w:b/>
          <w:bCs/>
        </w:rPr>
        <w:t xml:space="preserve">Type I error rate</w:t>
      </w:r>
    </w:p>
    <w:p>
      <w:pPr>
        <w:pStyle w:val="Compact"/>
        <w:numPr>
          <w:ilvl w:val="1"/>
          <w:numId w:val="1034"/>
        </w:numPr>
      </w:pPr>
      <w:r>
        <w:rPr>
          <w:b/>
          <w:bCs/>
        </w:rPr>
        <w:t xml:space="preserve">α</w:t>
      </w:r>
      <w:r>
        <w:t xml:space="preserve">: wrongly reject H₀ when it’s true</w:t>
      </w:r>
    </w:p>
    <w:p>
      <w:pPr>
        <w:pStyle w:val="Compact"/>
        <w:numPr>
          <w:ilvl w:val="1"/>
          <w:numId w:val="1034"/>
        </w:numPr>
      </w:pPr>
      <w:r>
        <w:t xml:space="preserve">α = 0.05 means a type I error rate of 5%</w:t>
      </w:r>
    </w:p>
    <w:p>
      <w:pPr>
        <w:pStyle w:val="Compact"/>
        <w:numPr>
          <w:ilvl w:val="0"/>
          <w:numId w:val="1033"/>
        </w:numPr>
      </w:pPr>
      <w:r>
        <w:rPr>
          <w:b/>
          <w:bCs/>
        </w:rPr>
        <w:t xml:space="preserve">Type II error rate, β</w:t>
      </w:r>
    </w:p>
    <w:p>
      <w:pPr>
        <w:pStyle w:val="Compact"/>
        <w:numPr>
          <w:ilvl w:val="1"/>
          <w:numId w:val="1035"/>
        </w:numPr>
      </w:pPr>
      <w:r>
        <w:t xml:space="preserve">wrongly fail to reject H₀ when it’s false</w:t>
      </w:r>
    </w:p>
    <w:p>
      <w:pPr>
        <w:pStyle w:val="Compact"/>
        <w:numPr>
          <w:ilvl w:val="0"/>
          <w:numId w:val="1033"/>
        </w:numPr>
      </w:pPr>
      <w:r>
        <w:rPr>
          <w:b/>
          <w:bCs/>
        </w:rPr>
        <w:t xml:space="preserve">Power = 1-β</w:t>
      </w:r>
      <w:r>
        <w:t xml:space="preserve">: probability of correctly rejecting H₀ when H₁ is true</w:t>
      </w:r>
    </w:p>
    <w:p>
      <w:pPr>
        <w:pStyle w:val="Compact"/>
        <w:numPr>
          <w:ilvl w:val="0"/>
          <w:numId w:val="1033"/>
        </w:numPr>
      </w:pPr>
      <w:r>
        <w:t xml:space="preserve">Inverse relationship between type I and type II error - but not straightforward</w:t>
      </w:r>
    </w:p>
    <w:p>
      <w:pPr>
        <w:pStyle w:val="Compact"/>
        <w:numPr>
          <w:ilvl w:val="0"/>
          <w:numId w:val="1033"/>
        </w:numPr>
      </w:pPr>
      <w:r>
        <w:t xml:space="preserve">Result of chance - sample not representative of population</w:t>
      </w:r>
    </w:p>
    <w:p>
      <w:pPr>
        <w:pStyle w:val="Compact"/>
        <w:numPr>
          <w:ilvl w:val="0"/>
          <w:numId w:val="1033"/>
        </w:numPr>
      </w:pPr>
      <w:r>
        <w:t xml:space="preserve">Which type of error is more dangerous?</w:t>
      </w:r>
    </w:p>
    <w:p>
      <w:pPr>
        <w:pStyle w:val="FirstParagraph"/>
      </w:pPr>
      <w:r>
        <w:drawing>
          <wp:inline>
            <wp:extent cx="3333750" cy="2667000"/>
            <wp:effectExtent b="0" l="0" r="0" t="0"/>
            <wp:docPr descr="" title="" id="65" name="Picture"/>
            <a:graphic>
              <a:graphicData uri="http://schemas.openxmlformats.org/drawingml/2006/picture">
                <pic:pic>
                  <pic:nvPicPr>
                    <pic:cNvPr descr="images/clipboard-4092094638.png" id="66" name="Picture"/>
                    <pic:cNvPicPr>
                      <a:picLocks noChangeArrowheads="1" noChangeAspect="1"/>
                    </pic:cNvPicPr>
                  </pic:nvPicPr>
                  <pic:blipFill>
                    <a:blip r:embed="rId64"/>
                    <a:stretch>
                      <a:fillRect/>
                    </a:stretch>
                  </pic:blipFill>
                  <pic:spPr bwMode="auto">
                    <a:xfrm>
                      <a:off x="0" y="0"/>
                      <a:ext cx="3333750" cy="2667000"/>
                    </a:xfrm>
                    <a:prstGeom prst="rect">
                      <a:avLst/>
                    </a:prstGeom>
                    <a:noFill/>
                    <a:ln w="9525">
                      <a:noFill/>
                      <a:headEnd/>
                      <a:tailEnd/>
                    </a:ln>
                  </pic:spPr>
                </pic:pic>
              </a:graphicData>
            </a:graphic>
          </wp:inline>
        </w:drawing>
      </w:r>
    </w:p>
    <w:p>
      <w:pPr>
        <w:pStyle w:val="BodyText"/>
      </w:pPr>
      <w:r>
        <w:t xml:space="preserve">the dotted line is the alpha = 0.05</w:t>
      </w:r>
    </w:p>
    <w:bookmarkEnd w:id="67"/>
    <w:bookmarkStart w:id="71" w:name="Xfc1059846e0a9ed04d10f6e670e082d7b47c970"/>
    <w:p>
      <w:pPr>
        <w:pStyle w:val="Heading1"/>
      </w:pPr>
      <w:r>
        <w:rPr>
          <w:b/>
          <w:bCs/>
        </w:rPr>
        <w:t xml:space="preserve">Lecture 6:</w:t>
      </w:r>
      <w:r>
        <w:t xml:space="preserve"> </w:t>
      </w:r>
      <w:r>
        <w:t xml:space="preserve">Type I and Type II Errors - Details</w:t>
      </w:r>
    </w:p>
    <w:p>
      <w:pPr>
        <w:pStyle w:val="FirstParagraph"/>
      </w:pPr>
      <w:r>
        <w:t xml:space="preserve">When making decisions based on hypothesis tests, two types of errors can occur:</w:t>
      </w:r>
    </w:p>
    <w:p>
      <w:pPr>
        <w:pStyle w:val="BodyText"/>
      </w:pPr>
      <w:r>
        <w:rPr>
          <w:b/>
          <w:bCs/>
        </w:rPr>
        <w:t xml:space="preserve">Type I Error (False Positive)</w:t>
      </w:r>
      <w:r>
        <w:t xml:space="preserve"> </w:t>
      </w:r>
      <w:r>
        <w:t xml:space="preserve">- Rejecting H₀ when it’s actually true - Probability = α (significance level) -</w:t>
      </w:r>
      <w:r>
        <w:t xml:space="preserve"> </w:t>
      </w:r>
      <w:r>
        <w:t xml:space="preserve">“Finding an effect that isn’t real”</w:t>
      </w:r>
    </w:p>
    <w:p>
      <w:pPr>
        <w:pStyle w:val="BodyText"/>
      </w:pPr>
      <w:r>
        <w:rPr>
          <w:b/>
          <w:bCs/>
        </w:rPr>
        <w:t xml:space="preserve">Type II Error (False Negative)</w:t>
      </w:r>
      <w:r>
        <w:t xml:space="preserve"> </w:t>
      </w:r>
      <w:r>
        <w:t xml:space="preserve">- Failing to reject H₀ when it’s actually false - Probability = β -</w:t>
      </w:r>
      <w:r>
        <w:t xml:space="preserve"> </w:t>
      </w:r>
      <w:r>
        <w:t xml:space="preserve">“Missing an effect that is real”</w:t>
      </w:r>
    </w:p>
    <w:p>
      <w:pPr>
        <w:pStyle w:val="BodyText"/>
      </w:pPr>
      <w:r>
        <w:rPr>
          <w:b/>
          <w:bCs/>
        </w:rPr>
        <w:t xml:space="preserve">Statistical Power = 1 - β</w:t>
      </w:r>
      <w:r>
        <w:t xml:space="preserve"> </w:t>
      </w:r>
      <w:r>
        <w:t xml:space="preserve">- Probability of correctly rejecting a false H₀ - Increases with: - Larger sample size - Larger effect size - Lower variability - Higher α level</w:t>
      </w:r>
    </w:p>
    <w:p>
      <w:pPr>
        <w:pStyle w:val="BodyText"/>
      </w:pPr>
      <w:r>
        <w:t xml:space="preserve">The red area represents the power in the experiment</w:t>
      </w:r>
    </w:p>
    <w:p>
      <w:pPr>
        <w:pStyle w:val="BodyText"/>
      </w:pPr>
      <w:r>
        <w:t xml:space="preserve">The farther apart the means the lower the beta error is… or you have higher power.</w:t>
      </w:r>
    </w:p>
    <w:p>
      <w:pPr>
        <w:pStyle w:val="BodyText"/>
      </w:pPr>
      <w:r>
        <w:drawing>
          <wp:inline>
            <wp:extent cx="2857500" cy="2381250"/>
            <wp:effectExtent b="0" l="0" r="0" t="0"/>
            <wp:docPr descr="" title="" id="69" name="Picture"/>
            <a:graphic>
              <a:graphicData uri="http://schemas.openxmlformats.org/drawingml/2006/picture">
                <pic:pic>
                  <pic:nvPicPr>
                    <pic:cNvPr descr="images/clipboard-3204206464.png" id="70" name="Picture"/>
                    <pic:cNvPicPr>
                      <a:picLocks noChangeArrowheads="1" noChangeAspect="1"/>
                    </pic:cNvPicPr>
                  </pic:nvPicPr>
                  <pic:blipFill>
                    <a:blip r:embed="rId68"/>
                    <a:stretch>
                      <a:fillRect/>
                    </a:stretch>
                  </pic:blipFill>
                  <pic:spPr bwMode="auto">
                    <a:xfrm>
                      <a:off x="0" y="0"/>
                      <a:ext cx="2857500" cy="2381250"/>
                    </a:xfrm>
                    <a:prstGeom prst="rect">
                      <a:avLst/>
                    </a:prstGeom>
                    <a:noFill/>
                    <a:ln w="9525">
                      <a:noFill/>
                      <a:headEnd/>
                      <a:tailEnd/>
                    </a:ln>
                  </pic:spPr>
                </pic:pic>
              </a:graphicData>
            </a:graphic>
          </wp:inline>
        </w:drawing>
      </w:r>
    </w:p>
    <w:bookmarkEnd w:id="71"/>
    <w:bookmarkStart w:id="75" w:name="X5e46da0a366b58b2e3acdc6a524f70d356e1c10"/>
    <w:p>
      <w:pPr>
        <w:pStyle w:val="Heading1"/>
      </w:pPr>
      <w:r>
        <w:rPr>
          <w:b/>
          <w:bCs/>
        </w:rPr>
        <w:t xml:space="preserve">Lecture 6:</w:t>
      </w:r>
      <w:r>
        <w:t xml:space="preserve"> </w:t>
      </w:r>
      <w:r>
        <w:t xml:space="preserve">Type I and Type II Errors - Visualization</w:t>
      </w:r>
    </w:p>
    <w:p>
      <w:pPr>
        <w:pStyle w:val="FirstParagraph"/>
      </w:pPr>
      <w:r>
        <w:t xml:space="preserve">When making decisions based on hypothesis tests, two types of errors can occur:</w:t>
      </w:r>
    </w:p>
    <w:p>
      <w:pPr>
        <w:pStyle w:val="BodyText"/>
      </w:pPr>
      <w:r>
        <w:rPr>
          <w:b/>
          <w:bCs/>
        </w:rPr>
        <w:t xml:space="preserve">Type I Error (False Positive)</w:t>
      </w:r>
      <w:r>
        <w:t xml:space="preserve"> </w:t>
      </w:r>
      <w:r>
        <w:t xml:space="preserve">- Rejecting H₀ when it’s actually true - Probability = α (significance level) -</w:t>
      </w:r>
      <w:r>
        <w:t xml:space="preserve"> </w:t>
      </w:r>
      <w:r>
        <w:t xml:space="preserve">“Finding an effect that isn’t real”</w:t>
      </w:r>
    </w:p>
    <w:p>
      <w:pPr>
        <w:pStyle w:val="BodyText"/>
      </w:pPr>
      <w:r>
        <w:rPr>
          <w:b/>
          <w:bCs/>
        </w:rPr>
        <w:t xml:space="preserve">Type II Error (False Negative)</w:t>
      </w:r>
      <w:r>
        <w:t xml:space="preserve"> </w:t>
      </w:r>
      <w:r>
        <w:t xml:space="preserve">- Failing to reject H₀ when it’s actually false - Probability = β -</w:t>
      </w:r>
      <w:r>
        <w:t xml:space="preserve"> </w:t>
      </w:r>
      <w:r>
        <w:t xml:space="preserve">“Missing an effect that is real”</w:t>
      </w:r>
    </w:p>
    <w:p>
      <w:pPr>
        <w:pStyle w:val="BodyText"/>
      </w:pPr>
      <w:r>
        <w:rPr>
          <w:b/>
          <w:bCs/>
        </w:rPr>
        <w:t xml:space="preserve">Statistical Power = 1 - β</w:t>
      </w:r>
      <w:r>
        <w:t xml:space="preserve"> </w:t>
      </w:r>
      <w:r>
        <w:t xml:space="preserve">- Probability of correctly rejecting a false H₀ - Increases with: - Larger sample size - Larger effect size - Lower variability - Higher α level</w:t>
      </w:r>
    </w:p>
    <w:p>
      <w:pPr>
        <w:pStyle w:val="BodyText"/>
      </w:pPr>
      <w:r>
        <w:t xml:space="preserve">The red area represents the power in the experiment</w:t>
      </w:r>
    </w:p>
    <w:p>
      <w:pPr>
        <w:pStyle w:val="BodyText"/>
      </w:pPr>
      <w:r>
        <w:t xml:space="preserve">The farther apart the means the lower the beta error is… or you have higher power.</w:t>
      </w:r>
    </w:p>
    <w:p>
      <w:pPr>
        <w:pStyle w:val="BodyText"/>
      </w:pPr>
      <w:r>
        <w:drawing>
          <wp:inline>
            <wp:extent cx="6578600" cy="6578600"/>
            <wp:effectExtent b="0" l="0" r="0" t="0"/>
            <wp:docPr descr="" title="" id="73" name="Picture"/>
            <a:graphic>
              <a:graphicData uri="http://schemas.openxmlformats.org/drawingml/2006/picture">
                <pic:pic>
                  <pic:nvPicPr>
                    <pic:cNvPr descr="06_01_lecture_powerpoint_files/figure-docx/unnamed-chunk-2-1.png" id="74" name="Picture"/>
                    <pic:cNvPicPr>
                      <a:picLocks noChangeArrowheads="1" noChangeAspect="1"/>
                    </pic:cNvPicPr>
                  </pic:nvPicPr>
                  <pic:blipFill>
                    <a:blip r:embed="rId72"/>
                    <a:stretch>
                      <a:fillRect/>
                    </a:stretch>
                  </pic:blipFill>
                  <pic:spPr bwMode="auto">
                    <a:xfrm>
                      <a:off x="0" y="0"/>
                      <a:ext cx="6578600" cy="6578600"/>
                    </a:xfrm>
                    <a:prstGeom prst="rect">
                      <a:avLst/>
                    </a:prstGeom>
                    <a:noFill/>
                    <a:ln w="9525">
                      <a:noFill/>
                      <a:headEnd/>
                      <a:tailEnd/>
                    </a:ln>
                  </pic:spPr>
                </pic:pic>
              </a:graphicData>
            </a:graphic>
          </wp:inline>
        </w:drawing>
      </w:r>
    </w:p>
    <w:bookmarkEnd w:id="75"/>
    <w:bookmarkStart w:id="79" w:name="X7f3dca85e001bd7283c37989f8ab4fcc5ffbdfd"/>
    <w:p>
      <w:pPr>
        <w:pStyle w:val="Heading1"/>
      </w:pPr>
      <w:r>
        <w:t xml:space="preserve">Practice Exercise: Interpreting Errors and Power</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77" name="Picture"/>
                  <a:graphic>
                    <a:graphicData uri="http://schemas.openxmlformats.org/drawingml/2006/picture">
                      <pic:pic>
                        <pic:nvPicPr>
                          <pic:cNvPr descr="/Applications/RStudio.app/Contents/Resources/app/quarto/share/formats/docx/tip.png" id="78" name="Picture"/>
                          <pic:cNvPicPr>
                            <a:picLocks noChangeArrowheads="1" noChangeAspect="1"/>
                          </pic:cNvPicPr>
                        </pic:nvPicPr>
                        <pic:blipFill>
                          <a:blip r:embed="rId7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Practice Exercise 6: Interpreting P-values and Errors</w:t>
            </w:r>
          </w:p>
        </w:tc>
      </w:tr>
      <w:tr>
        <w:trPr>
          <w:cantSplit/>
        </w:trPr>
        <w:tc>
          <w:tcPr>
            <w:tcMar>
              <w:top w:w="108" w:type="dxa"/>
              <w:bottom w:w="108" w:type="dxa"/>
            </w:tcMar>
          </w:tcPr>
          <w:p>
            <w:pPr>
              <w:pStyle w:val="BodyText"/>
            </w:pPr>
            <w:pPr>
              <w:spacing w:before="16"/>
            </w:pPr>
            <w:r>
              <w:t xml:space="preserve">Given the following scenarios, identify whether a Type I or Type II error might have occurred:</w:t>
            </w:r>
          </w:p>
          <w:p>
            <w:pPr>
              <w:pStyle w:val="Compact"/>
              <w:numPr>
                <w:ilvl w:val="0"/>
                <w:numId w:val="1036"/>
              </w:numPr>
            </w:pPr>
            <w:r>
              <w:t xml:space="preserve">A researcher concludes that a new fishing regulation increased grayling size, when in fact it had no effect.</w:t>
            </w:r>
          </w:p>
          <w:p>
            <w:pPr>
              <w:pStyle w:val="Compact"/>
              <w:numPr>
                <w:ilvl w:val="0"/>
                <w:numId w:val="1036"/>
              </w:numPr>
            </w:pPr>
            <w:r>
              <w:t xml:space="preserve">A study fails to detect a real decline in grayling population due to warming water, concluding there was no effect.</w:t>
            </w:r>
          </w:p>
          <w:p>
            <w:pPr>
              <w:pStyle w:val="Compact"/>
              <w:numPr>
                <w:ilvl w:val="0"/>
                <w:numId w:val="1036"/>
              </w:numPr>
            </w:pPr>
            <w:r>
              <w:t xml:space="preserve">Let’s calculate the power of our t-test to detect a 30 mm difference in length between lakes:</w:t>
            </w:r>
          </w:p>
          <w:p>
            <w:pPr>
              <w:numPr>
                <w:ilvl w:val="0"/>
                <w:numId w:val="1037"/>
              </w:numPr>
            </w:pPr>
            <w:r>
              <w:t xml:space="preserve">pooled standard deviation</w:t>
            </w:r>
          </w:p>
          <w:p>
            <w:pPr>
              <w:pStyle w:val="Compact"/>
              <w:numPr>
                <w:ilvl w:val="1"/>
                <w:numId w:val="1038"/>
              </w:numPr>
            </w:pPr>
            <w:r>
              <w:t xml:space="preserve">This is the combined standard deviation of both groups weighted by respective degrees of freedom.</w:t>
            </w:r>
          </w:p>
          <w:p>
            <w:pPr>
              <w:numPr>
                <w:ilvl w:val="0"/>
                <w:numId w:val="1037"/>
              </w:numPr>
            </w:pPr>
            <w:r>
              <w:t xml:space="preserve">Cohen’s d</w:t>
            </w:r>
          </w:p>
          <w:p>
            <w:pPr>
              <w:pStyle w:val="Compact"/>
              <w:numPr>
                <w:ilvl w:val="1"/>
                <w:numId w:val="1039"/>
              </w:numPr>
            </w:pPr>
            <w:r>
              <w:t xml:space="preserve">standardized difference between means - here assuming a difference of 30 units (mm)</w:t>
            </w:r>
          </w:p>
          <w:p>
            <w:pPr>
              <w:pStyle w:val="Compact"/>
              <w:numPr>
                <w:ilvl w:val="1"/>
                <w:numId w:val="1039"/>
              </w:numPr>
            </w:pPr>
            <w:r>
              <w:rPr>
                <w:rStyle w:val="VerbatimChar"/>
              </w:rPr>
              <w:t xml:space="preserve">delta = 0.6741298</w:t>
            </w:r>
            <w:r>
              <w:t xml:space="preserve">: The standardized effect size (Cohen’s d)</w:t>
            </w:r>
          </w:p>
          <w:p>
            <w:pPr>
              <w:pStyle w:val="SourceCode"/>
            </w:pPr>
            <w:r>
              <w:rPr>
                <w:rStyle w:val="FunctionTok"/>
              </w:rPr>
              <w:t xml:space="preserve">library</w:t>
            </w:r>
            <w:r>
              <w:rPr>
                <w:rStyle w:val="NormalTok"/>
              </w:rPr>
              <w:t xml:space="preserve">(car)</w:t>
            </w:r>
            <w:r>
              <w:br/>
            </w:r>
            <w:r>
              <w:rPr>
                <w:rStyle w:val="FunctionTok"/>
              </w:rPr>
              <w:t xml:space="preserve">library</w:t>
            </w:r>
            <w:r>
              <w:rPr>
                <w:rStyle w:val="NormalTok"/>
              </w:rPr>
              <w:t xml:space="preserve">(patchwork)</w:t>
            </w:r>
            <w:r>
              <w:br/>
            </w:r>
            <w:r>
              <w:rPr>
                <w:rStyle w:val="FunctionTok"/>
              </w:rPr>
              <w:t xml:space="preserve">library</w:t>
            </w:r>
            <w:r>
              <w:rPr>
                <w:rStyle w:val="NormalTok"/>
              </w:rPr>
              <w:t xml:space="preserve">(tidyverse)</w:t>
            </w:r>
            <w:r>
              <w:br/>
            </w:r>
            <w:r>
              <w:br/>
            </w:r>
            <w:r>
              <w:rPr>
                <w:rStyle w:val="NormalTok"/>
              </w:rPr>
              <w:t xml:space="preserve">grayling_df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"data/gray_I3_I8.csv"</w:t>
            </w:r>
            <w:r>
              <w:rPr>
                <w:rStyle w:val="NormalTok"/>
              </w:rPr>
              <w:t xml:space="preserve">)</w:t>
            </w:r>
            <w:r>
              <w:br/>
            </w:r>
            <w:r>
              <w:rPr>
                <w:rStyle w:val="NormalTok"/>
              </w:rPr>
              <w:t xml:space="preserve">i3_df </w:t>
            </w:r>
            <w:r>
              <w:rPr>
                <w:rStyle w:val="OtherTok"/>
              </w:rPr>
              <w:t xml:space="preserve">&lt;-</w:t>
            </w:r>
            <w:r>
              <w:rPr>
                <w:rStyle w:val="NormalTok"/>
              </w:rPr>
              <w:t xml:space="preserve"> grayling_df </w:t>
            </w:r>
            <w:r>
              <w:rPr>
                <w:rStyle w:val="SpecialCharTok"/>
              </w:rPr>
              <w:t xml:space="preserve">%&gt;%</w:t>
            </w:r>
            <w:r>
              <w:rPr>
                <w:rStyle w:val="NormalTok"/>
              </w:rPr>
              <w:t xml:space="preserve"> </w:t>
            </w:r>
            <w:r>
              <w:rPr>
                <w:rStyle w:val="FunctionTok"/>
              </w:rPr>
              <w:t xml:space="preserve">filter</w:t>
            </w:r>
            <w:r>
              <w:rPr>
                <w:rStyle w:val="NormalTok"/>
              </w:rPr>
              <w:t xml:space="preserve">(lake</w:t>
            </w:r>
            <w:r>
              <w:rPr>
                <w:rStyle w:val="SpecialCharTok"/>
              </w:rPr>
              <w:t xml:space="preserve">==</w:t>
            </w:r>
            <w:r>
              <w:rPr>
                <w:rStyle w:val="StringTok"/>
              </w:rPr>
              <w:t xml:space="preserve">"I3"</w:t>
            </w:r>
            <w:r>
              <w:rPr>
                <w:rStyle w:val="NormalTok"/>
              </w:rPr>
              <w:t xml:space="preserve">)</w:t>
            </w:r>
            <w:r>
              <w:br/>
            </w:r>
            <w:r>
              <w:rPr>
                <w:rStyle w:val="NormalTok"/>
              </w:rPr>
              <w:t xml:space="preserve">i8_df </w:t>
            </w:r>
            <w:r>
              <w:rPr>
                <w:rStyle w:val="OtherTok"/>
              </w:rPr>
              <w:t xml:space="preserve">&lt;-</w:t>
            </w:r>
            <w:r>
              <w:rPr>
                <w:rStyle w:val="NormalTok"/>
              </w:rPr>
              <w:t xml:space="preserve"> grayling_df </w:t>
            </w:r>
            <w:r>
              <w:rPr>
                <w:rStyle w:val="SpecialCharTok"/>
              </w:rPr>
              <w:t xml:space="preserve">%&gt;%</w:t>
            </w:r>
            <w:r>
              <w:rPr>
                <w:rStyle w:val="NormalTok"/>
              </w:rPr>
              <w:t xml:space="preserve"> </w:t>
            </w:r>
            <w:r>
              <w:rPr>
                <w:rStyle w:val="FunctionTok"/>
              </w:rPr>
              <w:t xml:space="preserve">filter</w:t>
            </w:r>
            <w:r>
              <w:rPr>
                <w:rStyle w:val="NormalTok"/>
              </w:rPr>
              <w:t xml:space="preserve">(lake</w:t>
            </w:r>
            <w:r>
              <w:rPr>
                <w:rStyle w:val="SpecialCharTok"/>
              </w:rPr>
              <w:t xml:space="preserve">==</w:t>
            </w:r>
            <w:r>
              <w:rPr>
                <w:rStyle w:val="StringTok"/>
              </w:rPr>
              <w:t xml:space="preserve">"I8"</w:t>
            </w:r>
            <w:r>
              <w:rPr>
                <w:rStyle w:val="NormalTok"/>
              </w:rPr>
              <w:t xml:space="preserve">)</w:t>
            </w:r>
            <w:r>
              <w:br/>
            </w:r>
            <w:r>
              <w:rPr>
                <w:rStyle w:val="CommentTok"/>
              </w:rPr>
              <w:t xml:space="preserve"># Calculate power for detecting a 30 mm difference</w:t>
            </w:r>
            <w:r>
              <w:br/>
            </w:r>
            <w:r>
              <w:br/>
            </w:r>
            <w:r>
              <w:rPr>
                <w:rStyle w:val="NormalTok"/>
              </w:rPr>
              <w:t xml:space="preserve">n1 </w:t>
            </w:r>
            <w:r>
              <w:rPr>
                <w:rStyle w:val="OtherTok"/>
              </w:rPr>
              <w:t xml:space="preserve">&lt;-</w:t>
            </w:r>
            <w:r>
              <w:rPr>
                <w:rStyle w:val="NormalTok"/>
              </w:rPr>
              <w:t xml:space="preserve"> </w:t>
            </w:r>
            <w:r>
              <w:rPr>
                <w:rStyle w:val="FunctionTok"/>
              </w:rPr>
              <w:t xml:space="preserve">nrow</w:t>
            </w:r>
            <w:r>
              <w:rPr>
                <w:rStyle w:val="NormalTok"/>
              </w:rPr>
              <w:t xml:space="preserve">(i3_df)</w:t>
            </w:r>
            <w:r>
              <w:br/>
            </w:r>
            <w:r>
              <w:rPr>
                <w:rStyle w:val="NormalTok"/>
              </w:rPr>
              <w:t xml:space="preserve">n2 </w:t>
            </w:r>
            <w:r>
              <w:rPr>
                <w:rStyle w:val="OtherTok"/>
              </w:rPr>
              <w:t xml:space="preserve">&lt;-</w:t>
            </w:r>
            <w:r>
              <w:rPr>
                <w:rStyle w:val="NormalTok"/>
              </w:rPr>
              <w:t xml:space="preserve"> </w:t>
            </w:r>
            <w:r>
              <w:rPr>
                <w:rStyle w:val="FunctionTok"/>
              </w:rPr>
              <w:t xml:space="preserve">nrow</w:t>
            </w:r>
            <w:r>
              <w:rPr>
                <w:rStyle w:val="NormalTok"/>
              </w:rPr>
              <w:t xml:space="preserve">(i8_df)</w:t>
            </w:r>
            <w:r>
              <w:br/>
            </w:r>
            <w:r>
              <w:rPr>
                <w:rStyle w:val="NormalTok"/>
              </w:rPr>
              <w:t xml:space="preserve">sd_pooled </w:t>
            </w:r>
            <w:r>
              <w:rPr>
                <w:rStyle w:val="OtherTok"/>
              </w:rPr>
              <w:t xml:space="preserve">&lt;-</w:t>
            </w:r>
            <w:r>
              <w:rPr>
                <w:rStyle w:val="NormalTok"/>
              </w:rPr>
              <w:t xml:space="preserve"> </w:t>
            </w:r>
            <w:r>
              <w:rPr>
                <w:rStyle w:val="FunctionTok"/>
              </w:rPr>
              <w:t xml:space="preserve">sqrt</w:t>
            </w:r>
            <w:r>
              <w:rPr>
                <w:rStyle w:val="NormalTok"/>
              </w:rPr>
              <w:t xml:space="preserve">((</w:t>
            </w:r>
            <w:r>
              <w:rPr>
                <w:rStyle w:val="FunctionTok"/>
              </w:rPr>
              <w:t xml:space="preserve">var</w:t>
            </w:r>
            <w:r>
              <w:rPr>
                <w:rStyle w:val="NormalTok"/>
              </w:rPr>
              <w:t xml:space="preserve">(i3_df</w:t>
            </w:r>
            <w:r>
              <w:rPr>
                <w:rStyle w:val="SpecialCharTok"/>
              </w:rPr>
              <w:t xml:space="preserve">$</w:t>
            </w:r>
            <w:r>
              <w:rPr>
                <w:rStyle w:val="NormalTok"/>
              </w:rPr>
              <w:t xml:space="preserve">length_mm) </w:t>
            </w:r>
            <w:r>
              <w:rPr>
                <w:rStyle w:val="SpecialCharTok"/>
              </w:rPr>
              <w:t xml:space="preserve">*</w:t>
            </w:r>
            <w:r>
              <w:rPr>
                <w:rStyle w:val="NormalTok"/>
              </w:rPr>
              <w:t xml:space="preserve"> (n1</w:t>
            </w:r>
            <w:r>
              <w:rPr>
                <w:rStyle w:val="DecValTok"/>
              </w:rPr>
              <w:t xml:space="preserve">-1</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var</w:t>
            </w:r>
            <w:r>
              <w:rPr>
                <w:rStyle w:val="NormalTok"/>
              </w:rPr>
              <w:t xml:space="preserve">(i8_df</w:t>
            </w:r>
            <w:r>
              <w:rPr>
                <w:rStyle w:val="SpecialCharTok"/>
              </w:rPr>
              <w:t xml:space="preserve">$</w:t>
            </w:r>
            <w:r>
              <w:rPr>
                <w:rStyle w:val="NormalTok"/>
              </w:rPr>
              <w:t xml:space="preserve">length_mm) </w:t>
            </w:r>
            <w:r>
              <w:rPr>
                <w:rStyle w:val="SpecialCharTok"/>
              </w:rPr>
              <w:t xml:space="preserve">*</w:t>
            </w:r>
            <w:r>
              <w:rPr>
                <w:rStyle w:val="NormalTok"/>
              </w:rPr>
              <w:t xml:space="preserve"> (n2</w:t>
            </w:r>
            <w:r>
              <w:rPr>
                <w:rStyle w:val="DecValTok"/>
              </w:rPr>
              <w:t xml:space="preserve">-1</w:t>
            </w:r>
            <w:r>
              <w:rPr>
                <w:rStyle w:val="NormalTok"/>
              </w:rPr>
              <w:t xml:space="preserve">)) </w:t>
            </w:r>
            <w:r>
              <w:rPr>
                <w:rStyle w:val="SpecialCharTok"/>
              </w:rPr>
              <w:t xml:space="preserve">/</w:t>
            </w:r>
            <w:r>
              <w:rPr>
                <w:rStyle w:val="NormalTok"/>
              </w:rPr>
              <w:t xml:space="preserve"> </w:t>
            </w:r>
            <w:r>
              <w:br/>
            </w:r>
            <w:r>
              <w:rPr>
                <w:rStyle w:val="NormalTok"/>
              </w:rPr>
              <w:t xml:space="preserve">                  (n1 </w:t>
            </w:r>
            <w:r>
              <w:rPr>
                <w:rStyle w:val="SpecialCharTok"/>
              </w:rPr>
              <w:t xml:space="preserve">+</w:t>
            </w:r>
            <w:r>
              <w:rPr>
                <w:rStyle w:val="NormalTok"/>
              </w:rPr>
              <w:t xml:space="preserve"> n2 </w:t>
            </w:r>
            <w:r>
              <w:rPr>
                <w:rStyle w:val="SpecialCharTok"/>
              </w:rPr>
              <w:t xml:space="preserve">-</w:t>
            </w:r>
            <w:r>
              <w:rPr>
                <w:rStyle w:val="NormalTok"/>
              </w:rPr>
              <w:t xml:space="preserve"> </w:t>
            </w:r>
            <w:r>
              <w:rPr>
                <w:rStyle w:val="DecValTok"/>
              </w:rPr>
              <w:t xml:space="preserve">2</w:t>
            </w:r>
            <w:r>
              <w:rPr>
                <w:rStyle w:val="NormalTok"/>
              </w:rPr>
              <w:t xml:space="preserve">))</w:t>
            </w:r>
            <w:r>
              <w:br/>
            </w:r>
            <w:r>
              <w:br/>
            </w:r>
            <w:r>
              <w:rPr>
                <w:rStyle w:val="CommentTok"/>
              </w:rPr>
              <w:t xml:space="preserve"># Calculate power</w:t>
            </w:r>
            <w:r>
              <w:br/>
            </w:r>
            <w:r>
              <w:rPr>
                <w:rStyle w:val="NormalTok"/>
              </w:rPr>
              <w:t xml:space="preserve">effect_size </w:t>
            </w:r>
            <w:r>
              <w:rPr>
                <w:rStyle w:val="OtherTok"/>
              </w:rPr>
              <w:t xml:space="preserve">&lt;-</w:t>
            </w:r>
            <w:r>
              <w:rPr>
                <w:rStyle w:val="NormalTok"/>
              </w:rPr>
              <w:t xml:space="preserve"> </w:t>
            </w:r>
            <w:r>
              <w:rPr>
                <w:rStyle w:val="DecValTok"/>
              </w:rPr>
              <w:t xml:space="preserve">30</w:t>
            </w:r>
            <w:r>
              <w:rPr>
                <w:rStyle w:val="NormalTok"/>
              </w:rPr>
              <w:t xml:space="preserve"> </w:t>
            </w:r>
            <w:r>
              <w:rPr>
                <w:rStyle w:val="SpecialCharTok"/>
              </w:rPr>
              <w:t xml:space="preserve">/</w:t>
            </w:r>
            <w:r>
              <w:rPr>
                <w:rStyle w:val="NormalTok"/>
              </w:rPr>
              <w:t xml:space="preserve"> sd_pooled  </w:t>
            </w:r>
            <w:r>
              <w:rPr>
                <w:rStyle w:val="CommentTok"/>
              </w:rPr>
              <w:t xml:space="preserve"># Cohen's d</w:t>
            </w:r>
            <w:r>
              <w:br/>
            </w:r>
            <w:r>
              <w:rPr>
                <w:rStyle w:val="NormalTok"/>
              </w:rPr>
              <w:t xml:space="preserve">df </w:t>
            </w:r>
            <w:r>
              <w:rPr>
                <w:rStyle w:val="OtherTok"/>
              </w:rPr>
              <w:t xml:space="preserve">&lt;-</w:t>
            </w:r>
            <w:r>
              <w:rPr>
                <w:rStyle w:val="NormalTok"/>
              </w:rPr>
              <w:t xml:space="preserve"> n1 </w:t>
            </w:r>
            <w:r>
              <w:rPr>
                <w:rStyle w:val="SpecialCharTok"/>
              </w:rPr>
              <w:t xml:space="preserve">+</w:t>
            </w:r>
            <w:r>
              <w:rPr>
                <w:rStyle w:val="NormalTok"/>
              </w:rPr>
              <w:t xml:space="preserve"> n2 </w:t>
            </w:r>
            <w:r>
              <w:rPr>
                <w:rStyle w:val="SpecialCharTok"/>
              </w:rPr>
              <w:t xml:space="preserve">-</w:t>
            </w:r>
            <w:r>
              <w:rPr>
                <w:rStyle w:val="NormalTok"/>
              </w:rPr>
              <w:t xml:space="preserve"> </w:t>
            </w:r>
            <w:r>
              <w:rPr>
                <w:rStyle w:val="DecValTok"/>
              </w:rPr>
              <w:t xml:space="preserve">2</w:t>
            </w:r>
            <w:r>
              <w:br/>
            </w:r>
            <w:r>
              <w:rPr>
                <w:rStyle w:val="NormalTok"/>
              </w:rPr>
              <w:t xml:space="preserve">alpha </w:t>
            </w:r>
            <w:r>
              <w:rPr>
                <w:rStyle w:val="OtherTok"/>
              </w:rPr>
              <w:t xml:space="preserve">&lt;-</w:t>
            </w:r>
            <w:r>
              <w:rPr>
                <w:rStyle w:val="NormalTok"/>
              </w:rPr>
              <w:t xml:space="preserve"> </w:t>
            </w:r>
            <w:r>
              <w:rPr>
                <w:rStyle w:val="FloatTok"/>
              </w:rPr>
              <w:t xml:space="preserve">0.05</w:t>
            </w:r>
            <w:r>
              <w:br/>
            </w:r>
            <w:r>
              <w:rPr>
                <w:rStyle w:val="NormalTok"/>
              </w:rPr>
              <w:t xml:space="preserve">power </w:t>
            </w:r>
            <w:r>
              <w:rPr>
                <w:rStyle w:val="OtherTok"/>
              </w:rPr>
              <w:t xml:space="preserve">&lt;-</w:t>
            </w:r>
            <w:r>
              <w:rPr>
                <w:rStyle w:val="NormalTok"/>
              </w:rPr>
              <w:t xml:space="preserve"> </w:t>
            </w:r>
            <w:r>
              <w:rPr>
                <w:rStyle w:val="FunctionTok"/>
              </w:rPr>
              <w:t xml:space="preserve">power.t.test</w:t>
            </w:r>
            <w:r>
              <w:rPr>
                <w:rStyle w:val="NormalTok"/>
              </w:rPr>
              <w:t xml:space="preserve">(</w:t>
            </w:r>
            <w:r>
              <w:rPr>
                <w:rStyle w:val="AttributeTok"/>
              </w:rPr>
              <w:t xml:space="preserve">n =</w:t>
            </w:r>
            <w:r>
              <w:rPr>
                <w:rStyle w:val="NormalTok"/>
              </w:rPr>
              <w:t xml:space="preserve"> </w:t>
            </w:r>
            <w:r>
              <w:rPr>
                <w:rStyle w:val="FunctionTok"/>
              </w:rPr>
              <w:t xml:space="preserve">min</w:t>
            </w:r>
            <w:r>
              <w:rPr>
                <w:rStyle w:val="NormalTok"/>
              </w:rPr>
              <w:t xml:space="preserve">(n1, n2), </w:t>
            </w:r>
            <w:r>
              <w:br/>
            </w:r>
            <w:r>
              <w:rPr>
                <w:rStyle w:val="NormalTok"/>
              </w:rPr>
              <w:t xml:space="preserve">                     </w:t>
            </w:r>
            <w:r>
              <w:rPr>
                <w:rStyle w:val="AttributeTok"/>
              </w:rPr>
              <w:t xml:space="preserve">delta =</w:t>
            </w:r>
            <w:r>
              <w:rPr>
                <w:rStyle w:val="NormalTok"/>
              </w:rPr>
              <w:t xml:space="preserve"> effect_size,</w:t>
            </w:r>
            <w:r>
              <w:br/>
            </w:r>
            <w:r>
              <w:rPr>
                <w:rStyle w:val="NormalTok"/>
              </w:rPr>
              <w:t xml:space="preserve">                     </w:t>
            </w:r>
            <w:r>
              <w:rPr>
                <w:rStyle w:val="AttributeTok"/>
              </w:rPr>
              <w:t xml:space="preserve">sd =</w:t>
            </w:r>
            <w:r>
              <w:rPr>
                <w:rStyle w:val="NormalTok"/>
              </w:rPr>
              <w:t xml:space="preserve"> </w:t>
            </w:r>
            <w:r>
              <w:rPr>
                <w:rStyle w:val="DecValTok"/>
              </w:rPr>
              <w:t xml:space="preserve">1</w:t>
            </w:r>
            <w:r>
              <w:rPr>
                <w:rStyle w:val="NormalTok"/>
              </w:rPr>
              <w:t xml:space="preserve">,  </w:t>
            </w:r>
            <w:r>
              <w:rPr>
                <w:rStyle w:val="CommentTok"/>
              </w:rPr>
              <w:t xml:space="preserve"># Using standardized effect size</w:t>
            </w:r>
            <w:r>
              <w:br/>
            </w:r>
            <w:r>
              <w:rPr>
                <w:rStyle w:val="NormalTok"/>
              </w:rPr>
              <w:t xml:space="preserve">                     </w:t>
            </w:r>
            <w:r>
              <w:rPr>
                <w:rStyle w:val="AttributeTok"/>
              </w:rPr>
              <w:t xml:space="preserve">sig.level =</w:t>
            </w:r>
            <w:r>
              <w:rPr>
                <w:rStyle w:val="NormalTok"/>
              </w:rPr>
              <w:t xml:space="preserve"> alpha,</w:t>
            </w:r>
            <w:r>
              <w:br/>
            </w:r>
            <w:r>
              <w:rPr>
                <w:rStyle w:val="NormalTok"/>
              </w:rPr>
              <w:t xml:space="preserve">                     </w:t>
            </w:r>
            <w:r>
              <w:rPr>
                <w:rStyle w:val="AttributeTok"/>
              </w:rPr>
              <w:t xml:space="preserve">type =</w:t>
            </w:r>
            <w:r>
              <w:rPr>
                <w:rStyle w:val="NormalTok"/>
              </w:rPr>
              <w:t xml:space="preserve"> </w:t>
            </w:r>
            <w:r>
              <w:rPr>
                <w:rStyle w:val="StringTok"/>
              </w:rPr>
              <w:t xml:space="preserve">"two.sample"</w:t>
            </w:r>
            <w:r>
              <w:rPr>
                <w:rStyle w:val="NormalTok"/>
              </w:rPr>
              <w:t xml:space="preserve">,</w:t>
            </w:r>
            <w:r>
              <w:br/>
            </w:r>
            <w:r>
              <w:rPr>
                <w:rStyle w:val="NormalTok"/>
              </w:rPr>
              <w:t xml:space="preserve">                     </w:t>
            </w:r>
            <w:r>
              <w:rPr>
                <w:rStyle w:val="AttributeTok"/>
              </w:rPr>
              <w:t xml:space="preserve">alternative =</w:t>
            </w:r>
            <w:r>
              <w:rPr>
                <w:rStyle w:val="NormalTok"/>
              </w:rPr>
              <w:t xml:space="preserve"> </w:t>
            </w:r>
            <w:r>
              <w:rPr>
                <w:rStyle w:val="StringTok"/>
              </w:rPr>
              <w:t xml:space="preserve">"two.sided"</w:t>
            </w:r>
            <w:r>
              <w:rPr>
                <w:rStyle w:val="NormalTok"/>
              </w:rPr>
              <w:t xml:space="preserve">)</w:t>
            </w:r>
            <w:r>
              <w:br/>
            </w:r>
            <w:r>
              <w:br/>
            </w:r>
            <w:r>
              <w:rPr>
                <w:rStyle w:val="CommentTok"/>
              </w:rPr>
              <w:t xml:space="preserve"># Display results</w:t>
            </w:r>
            <w:r>
              <w:br/>
            </w:r>
            <w:r>
              <w:rPr>
                <w:rStyle w:val="NormalTok"/>
              </w:rPr>
              <w:t xml:space="preserve">power</w:t>
            </w:r>
          </w:p>
          <w:p>
            <w:pPr>
              <w:pStyle w:val="SourceCode"/>
            </w:pPr>
            <w:r>
              <w:br/>
            </w:r>
            <w:r>
              <w:rPr>
                <w:rStyle w:val="VerbatimChar"/>
              </w:rPr>
              <w:t xml:space="preserve">     Two-sample t test power calculation </w:t>
            </w:r>
            <w:r>
              <w:br/>
            </w:r>
            <w:r>
              <w:br/>
            </w:r>
            <w:r>
              <w:rPr>
                <w:rStyle w:val="VerbatimChar"/>
              </w:rPr>
              <w:t xml:space="preserve">              n = 66</w:t>
            </w:r>
            <w:r>
              <w:br/>
            </w:r>
            <w:r>
              <w:rPr>
                <w:rStyle w:val="VerbatimChar"/>
              </w:rPr>
              <w:t xml:space="preserve">          delta = 0.6741298</w:t>
            </w:r>
            <w:r>
              <w:br/>
            </w:r>
            <w:r>
              <w:rPr>
                <w:rStyle w:val="VerbatimChar"/>
              </w:rPr>
              <w:t xml:space="preserve">             sd = 1</w:t>
            </w:r>
            <w:r>
              <w:br/>
            </w:r>
            <w:r>
              <w:rPr>
                <w:rStyle w:val="VerbatimChar"/>
              </w:rPr>
              <w:t xml:space="preserve">      sig.level = 0.05</w:t>
            </w:r>
            <w:r>
              <w:br/>
            </w:r>
            <w:r>
              <w:rPr>
                <w:rStyle w:val="VerbatimChar"/>
              </w:rPr>
              <w:t xml:space="preserve">          power = 0.9702076</w:t>
            </w:r>
            <w:r>
              <w:br/>
            </w:r>
            <w:r>
              <w:rPr>
                <w:rStyle w:val="VerbatimChar"/>
              </w:rPr>
              <w:t xml:space="preserve">    alternative = two.sided</w:t>
            </w:r>
            <w:r>
              <w:br/>
            </w:r>
            <w:r>
              <w:br/>
            </w:r>
            <w:r>
              <w:rPr>
                <w:rStyle w:val="VerbatimChar"/>
              </w:rPr>
              <w:t xml:space="preserve">NOTE: n is number in *each* group</w:t>
            </w:r>
          </w:p>
        </w:tc>
      </w:tr>
    </w:tbl>
    <w:bookmarkEnd w:id="79"/>
    <w:bookmarkStart w:id="80" w:name="what-is-power"/>
    <w:p>
      <w:pPr>
        <w:pStyle w:val="Heading1"/>
      </w:pPr>
      <w:r>
        <w:t xml:space="preserve">What is Power</w:t>
      </w:r>
    </w:p>
    <w:p>
      <w:pPr>
        <w:pStyle w:val="FirstParagraph"/>
      </w:pPr>
      <w:r>
        <w:t xml:space="preserve">Statistical power represents the probability of detecting a true effect (rejecting the null hypothesis when it is false). In this case, with a power of 97%, there’s a 97% chance of detecting a true difference of 30 units between the means of the two groups if such a difference actually exists.</w:t>
      </w:r>
    </w:p>
    <w:p>
      <w:pPr>
        <w:pStyle w:val="BodyText"/>
      </w:pPr>
      <w:r>
        <w:t xml:space="preserve">A power analysis like this is typically done for one of these purposes:</w:t>
      </w:r>
    </w:p>
    <w:p>
      <w:pPr>
        <w:pStyle w:val="Compact"/>
        <w:numPr>
          <w:ilvl w:val="0"/>
          <w:numId w:val="1040"/>
        </w:numPr>
      </w:pPr>
      <w:r>
        <w:t xml:space="preserve">Before data collection to determine required sample size</w:t>
      </w:r>
    </w:p>
    <w:p>
      <w:pPr>
        <w:pStyle w:val="Compact"/>
        <w:numPr>
          <w:ilvl w:val="0"/>
          <w:numId w:val="1040"/>
        </w:numPr>
      </w:pPr>
      <w:r>
        <w:t xml:space="preserve">After a study to evaluate if the sample size was adequate</w:t>
      </w:r>
    </w:p>
    <w:p>
      <w:pPr>
        <w:pStyle w:val="Compact"/>
        <w:numPr>
          <w:ilvl w:val="0"/>
          <w:numId w:val="1040"/>
        </w:numPr>
      </w:pPr>
      <w:r>
        <w:t xml:space="preserve">To determine the minimum detectable effect size with the given sample</w:t>
      </w:r>
    </w:p>
    <w:p>
      <w:pPr>
        <w:pStyle w:val="FirstParagraph"/>
      </w:pPr>
      <w:r>
        <w:t xml:space="preserve">With 97% power, this test has excellent ability to detect the specified effect size. Generally,</w:t>
      </w:r>
      <w:r>
        <w:t xml:space="preserve"> </w:t>
      </w:r>
      <w:r>
        <w:rPr>
          <w:b/>
          <w:bCs/>
        </w:rPr>
        <w:t xml:space="preserve">80% power is considered acceptable</w:t>
      </w:r>
      <w:r>
        <w:t xml:space="preserve">, so 97% indicates a very well-powered study for detecting a difference of 30mm between the groups.</w:t>
      </w:r>
    </w:p>
    <w:bookmarkEnd w:id="80"/>
    <w:bookmarkStart w:id="84" w:name="Xb29f383daa8c3c81bb8914ce0215d82ab078651"/>
    <w:p>
      <w:pPr>
        <w:pStyle w:val="Heading1"/>
      </w:pPr>
      <w:r>
        <w:rPr>
          <w:b/>
          <w:bCs/>
        </w:rPr>
        <w:t xml:space="preserve">Lecture 6:</w:t>
      </w:r>
      <w:r>
        <w:t xml:space="preserve"> </w:t>
      </w:r>
      <w:r>
        <w:t xml:space="preserve">Error Bars and Their Interpretation</w:t>
      </w:r>
    </w:p>
    <w:p>
      <w:pPr>
        <w:pStyle w:val="FirstParagraph"/>
      </w:pPr>
      <w:r>
        <w:t xml:space="preserve">Error bars are graphical representations of the variability of data that show:</w:t>
      </w:r>
    </w:p>
    <w:p>
      <w:pPr>
        <w:pStyle w:val="Compact"/>
        <w:numPr>
          <w:ilvl w:val="0"/>
          <w:numId w:val="1041"/>
        </w:numPr>
      </w:pPr>
      <w:r>
        <w:t xml:space="preserve">The</w:t>
      </w:r>
      <w:r>
        <w:t xml:space="preserve"> </w:t>
      </w:r>
      <w:r>
        <w:rPr>
          <w:b/>
          <w:bCs/>
        </w:rPr>
        <w:t xml:space="preserve">precision</w:t>
      </w:r>
      <w:r>
        <w:t xml:space="preserve"> </w:t>
      </w:r>
      <w:r>
        <w:t xml:space="preserve">of a measurement</w:t>
      </w:r>
    </w:p>
    <w:p>
      <w:pPr>
        <w:pStyle w:val="Compact"/>
        <w:numPr>
          <w:ilvl w:val="0"/>
          <w:numId w:val="1041"/>
        </w:numPr>
      </w:pPr>
      <w:r>
        <w:t xml:space="preserve">The</w:t>
      </w:r>
      <w:r>
        <w:t xml:space="preserve"> </w:t>
      </w:r>
      <w:r>
        <w:rPr>
          <w:b/>
          <w:bCs/>
        </w:rPr>
        <w:t xml:space="preserve">uncertainty</w:t>
      </w:r>
      <w:r>
        <w:t xml:space="preserve"> </w:t>
      </w:r>
      <w:r>
        <w:t xml:space="preserve">around an estimate</w:t>
      </w:r>
    </w:p>
    <w:p>
      <w:pPr>
        <w:pStyle w:val="Compact"/>
        <w:numPr>
          <w:ilvl w:val="0"/>
          <w:numId w:val="1041"/>
        </w:numPr>
      </w:pPr>
      <w:r>
        <w:t xml:space="preserve">A</w:t>
      </w:r>
      <w:r>
        <w:t xml:space="preserve"> </w:t>
      </w:r>
      <w:r>
        <w:rPr>
          <w:b/>
          <w:bCs/>
        </w:rPr>
        <w:t xml:space="preserve">confidence interval</w:t>
      </w:r>
      <w:r>
        <w:t xml:space="preserve"> </w:t>
      </w:r>
      <w:r>
        <w:t xml:space="preserve">for a parameter</w:t>
      </w:r>
    </w:p>
    <w:p>
      <w:pPr>
        <w:pStyle w:val="FirstParagraph"/>
      </w:pPr>
      <w:r>
        <w:t xml:space="preserve">Common types of error bars:</w:t>
      </w:r>
    </w:p>
    <w:p>
      <w:pPr>
        <w:pStyle w:val="Compact"/>
        <w:numPr>
          <w:ilvl w:val="0"/>
          <w:numId w:val="1042"/>
        </w:numPr>
      </w:pPr>
      <w:r>
        <w:rPr>
          <w:b/>
          <w:bCs/>
        </w:rPr>
        <w:t xml:space="preserve">Standard Error (SE)</w:t>
      </w:r>
      <w:r>
        <w:t xml:space="preserve">: Shows precision of the mean</w:t>
      </w:r>
    </w:p>
    <w:p>
      <w:pPr>
        <w:pStyle w:val="Compact"/>
        <w:numPr>
          <w:ilvl w:val="0"/>
          <w:numId w:val="1042"/>
        </w:numPr>
      </w:pPr>
      <w:r>
        <w:rPr>
          <w:b/>
          <w:bCs/>
        </w:rPr>
        <w:t xml:space="preserve">Standard Deviation (SD)</w:t>
      </w:r>
      <w:r>
        <w:t xml:space="preserve">: Shows variability in the data</w:t>
      </w:r>
    </w:p>
    <w:p>
      <w:pPr>
        <w:pStyle w:val="Compact"/>
        <w:numPr>
          <w:ilvl w:val="0"/>
          <w:numId w:val="1042"/>
        </w:numPr>
      </w:pPr>
      <w:r>
        <w:rPr>
          <w:b/>
          <w:bCs/>
        </w:rPr>
        <w:t xml:space="preserve">Confidence Interval (CI)</w:t>
      </w:r>
      <w:r>
        <w:t xml:space="preserve">: Shows plausible range for parameter</w:t>
      </w:r>
    </w:p>
    <w:p>
      <w:pPr>
        <w:pStyle w:val="FirstParagraph"/>
      </w:pPr>
      <w:r>
        <w:t xml:space="preserve">When interpreting graphs:</w:t>
      </w:r>
    </w:p>
    <w:p>
      <w:pPr>
        <w:pStyle w:val="Compact"/>
        <w:numPr>
          <w:ilvl w:val="0"/>
          <w:numId w:val="1043"/>
        </w:numPr>
      </w:pPr>
      <w:r>
        <w:t xml:space="preserve">Always check what the error bars represent</w:t>
      </w:r>
    </w:p>
    <w:p>
      <w:pPr>
        <w:pStyle w:val="Compact"/>
        <w:numPr>
          <w:ilvl w:val="0"/>
          <w:numId w:val="1043"/>
        </w:numPr>
      </w:pPr>
      <w:r>
        <w:t xml:space="preserve">Non-overlapping 95% CI bars suggest statistically significant differences</w:t>
      </w:r>
    </w:p>
    <w:p>
      <w:pPr>
        <w:pStyle w:val="Compact"/>
        <w:numPr>
          <w:ilvl w:val="0"/>
          <w:numId w:val="1043"/>
        </w:numPr>
      </w:pPr>
      <w:r>
        <w:t xml:space="preserve">Error bars help assess both statistical and practical significance</w:t>
      </w:r>
    </w:p>
    <w:p>
      <w:pPr>
        <w:pStyle w:val="FirstParagraph"/>
      </w:pPr>
      <w:r>
        <w:drawing>
          <wp:inline>
            <wp:extent cx="6578600" cy="6578600"/>
            <wp:effectExtent b="0" l="0" r="0" t="0"/>
            <wp:docPr descr="" title="" id="82" name="Picture"/>
            <a:graphic>
              <a:graphicData uri="http://schemas.openxmlformats.org/drawingml/2006/picture">
                <pic:pic>
                  <pic:nvPicPr>
                    <pic:cNvPr descr="06_01_lecture_powerpoint_files/figure-docx/unnamed-chunk-4-1.png" id="83" name="Picture"/>
                    <pic:cNvPicPr>
                      <a:picLocks noChangeArrowheads="1" noChangeAspect="1"/>
                    </pic:cNvPicPr>
                  </pic:nvPicPr>
                  <pic:blipFill>
                    <a:blip r:embed="rId81"/>
                    <a:stretch>
                      <a:fillRect/>
                    </a:stretch>
                  </pic:blipFill>
                  <pic:spPr bwMode="auto">
                    <a:xfrm>
                      <a:off x="0" y="0"/>
                      <a:ext cx="6578600" cy="6578600"/>
                    </a:xfrm>
                    <a:prstGeom prst="rect">
                      <a:avLst/>
                    </a:prstGeom>
                    <a:noFill/>
                    <a:ln w="9525">
                      <a:noFill/>
                      <a:headEnd/>
                      <a:tailEnd/>
                    </a:ln>
                  </pic:spPr>
                </pic:pic>
              </a:graphicData>
            </a:graphic>
          </wp:inline>
        </w:drawing>
      </w:r>
    </w:p>
    <w:bookmarkEnd w:id="84"/>
    <w:bookmarkStart w:id="88" w:name="lecture-6-sampling-and-pseudoreplication"/>
    <w:p>
      <w:pPr>
        <w:pStyle w:val="Heading1"/>
      </w:pPr>
      <w:r>
        <w:rPr>
          <w:b/>
          <w:bCs/>
        </w:rPr>
        <w:t xml:space="preserve">Lecture 6:</w:t>
      </w:r>
      <w:r>
        <w:t xml:space="preserve"> </w:t>
      </w:r>
      <w:r>
        <w:t xml:space="preserve">Sampling and Pseudoreplication</w:t>
      </w:r>
    </w:p>
    <w:p>
      <w:pPr>
        <w:pStyle w:val="FirstParagraph"/>
      </w:pPr>
      <w:r>
        <w:rPr>
          <w:b/>
          <w:bCs/>
        </w:rPr>
        <w:t xml:space="preserve">Pseudoreplication</w:t>
      </w:r>
      <w:r>
        <w:t xml:space="preserve"> </w:t>
      </w:r>
      <w:r>
        <w:t xml:space="preserve">occurs when measurements that are not independent are analyzed as if they were independent.</w:t>
      </w:r>
    </w:p>
    <w:p>
      <w:pPr>
        <w:pStyle w:val="Compact"/>
        <w:numPr>
          <w:ilvl w:val="0"/>
          <w:numId w:val="1044"/>
        </w:numPr>
      </w:pPr>
      <w:r>
        <w:t xml:space="preserve">A critical consideration in experimental design</w:t>
      </w:r>
    </w:p>
    <w:p>
      <w:pPr>
        <w:pStyle w:val="Compact"/>
        <w:numPr>
          <w:ilvl w:val="0"/>
          <w:numId w:val="1044"/>
        </w:numPr>
      </w:pPr>
      <w:r>
        <w:t xml:space="preserve">Results in underestimated standard errors and confidence intervals</w:t>
      </w:r>
    </w:p>
    <w:p>
      <w:pPr>
        <w:pStyle w:val="Compact"/>
        <w:numPr>
          <w:ilvl w:val="0"/>
          <w:numId w:val="1044"/>
        </w:numPr>
      </w:pPr>
      <w:r>
        <w:t xml:space="preserve">Leads to inflated Type I error rates (false positives)</w:t>
      </w:r>
    </w:p>
    <w:p>
      <w:pPr>
        <w:pStyle w:val="FirstParagraph"/>
      </w:pPr>
      <w:r>
        <w:rPr>
          <w:b/>
          <w:bCs/>
        </w:rPr>
        <w:t xml:space="preserve">Examples of pseudoreplication:</w:t>
      </w:r>
    </w:p>
    <w:p>
      <w:pPr>
        <w:pStyle w:val="Compact"/>
        <w:numPr>
          <w:ilvl w:val="0"/>
          <w:numId w:val="1045"/>
        </w:numPr>
      </w:pPr>
      <w:r>
        <w:t xml:space="preserve">Measuring the same individual multiple times</w:t>
      </w:r>
    </w:p>
    <w:p>
      <w:pPr>
        <w:pStyle w:val="Compact"/>
        <w:numPr>
          <w:ilvl w:val="0"/>
          <w:numId w:val="1045"/>
        </w:numPr>
      </w:pPr>
      <w:r>
        <w:t xml:space="preserve">Treating multiple fish from the same tank as independent</w:t>
      </w:r>
    </w:p>
    <w:p>
      <w:pPr>
        <w:pStyle w:val="Compact"/>
        <w:numPr>
          <w:ilvl w:val="0"/>
          <w:numId w:val="1045"/>
        </w:numPr>
      </w:pPr>
      <w:r>
        <w:t xml:space="preserve">Using multiple data points from a single site</w:t>
      </w:r>
    </w:p>
    <w:p>
      <w:pPr>
        <w:pStyle w:val="FirstParagraph"/>
      </w:pPr>
      <w:r>
        <w:rPr>
          <w:b/>
          <w:bCs/>
        </w:rPr>
        <w:t xml:space="preserve">How to avoid pseudoreplication:</w:t>
      </w:r>
    </w:p>
    <w:p>
      <w:pPr>
        <w:pStyle w:val="Compact"/>
        <w:numPr>
          <w:ilvl w:val="0"/>
          <w:numId w:val="1046"/>
        </w:numPr>
      </w:pPr>
      <w:r>
        <w:t xml:space="preserve">Identify the true experimental unit</w:t>
      </w:r>
    </w:p>
    <w:p>
      <w:pPr>
        <w:pStyle w:val="Compact"/>
        <w:numPr>
          <w:ilvl w:val="0"/>
          <w:numId w:val="1046"/>
        </w:numPr>
      </w:pPr>
      <w:r>
        <w:t xml:space="preserve">Use appropriate statistical techniques (e.g., mixed models)</w:t>
      </w:r>
    </w:p>
    <w:p>
      <w:pPr>
        <w:pStyle w:val="Compact"/>
        <w:numPr>
          <w:ilvl w:val="0"/>
          <w:numId w:val="1046"/>
        </w:numPr>
      </w:pPr>
      <w:r>
        <w:t xml:space="preserve">Be clear about the level of replication</w:t>
      </w:r>
    </w:p>
    <w:p>
      <w:pPr>
        <w:pStyle w:val="FirstParagraph"/>
      </w:pPr>
      <w:r>
        <w:drawing>
          <wp:inline>
            <wp:extent cx="6578600" cy="6578600"/>
            <wp:effectExtent b="0" l="0" r="0" t="0"/>
            <wp:docPr descr="" title="" id="86" name="Picture"/>
            <a:graphic>
              <a:graphicData uri="http://schemas.openxmlformats.org/drawingml/2006/picture">
                <pic:pic>
                  <pic:nvPicPr>
                    <pic:cNvPr descr="06_01_lecture_powerpoint_files/figure-docx/unnamed-chunk-5-1.png" id="87" name="Picture"/>
                    <pic:cNvPicPr>
                      <a:picLocks noChangeArrowheads="1" noChangeAspect="1"/>
                    </pic:cNvPicPr>
                  </pic:nvPicPr>
                  <pic:blipFill>
                    <a:blip r:embed="rId85"/>
                    <a:stretch>
                      <a:fillRect/>
                    </a:stretch>
                  </pic:blipFill>
                  <pic:spPr bwMode="auto">
                    <a:xfrm>
                      <a:off x="0" y="0"/>
                      <a:ext cx="6578600" cy="6578600"/>
                    </a:xfrm>
                    <a:prstGeom prst="rect">
                      <a:avLst/>
                    </a:prstGeom>
                    <a:noFill/>
                    <a:ln w="9525">
                      <a:noFill/>
                      <a:headEnd/>
                      <a:tailEnd/>
                    </a:ln>
                  </pic:spPr>
                </pic:pic>
              </a:graphicData>
            </a:graphic>
          </wp:inline>
        </w:drawing>
      </w:r>
    </w:p>
    <w:bookmarkEnd w:id="88"/>
    <w:bookmarkStart w:id="92" w:name="X7c1afc640c5c294466a23b01e3107d4bfb54bfd"/>
    <w:p>
      <w:pPr>
        <w:pStyle w:val="Heading1"/>
      </w:pPr>
      <w:r>
        <w:rPr>
          <w:b/>
          <w:bCs/>
        </w:rPr>
        <w:t xml:space="preserve">Lecture 6:</w:t>
      </w:r>
      <w:r>
        <w:t xml:space="preserve"> </w:t>
      </w:r>
      <w:r>
        <w:t xml:space="preserve">Practical Applications in Fish Biology</w:t>
      </w:r>
    </w:p>
    <w:p>
      <w:pPr>
        <w:pStyle w:val="FirstParagraph"/>
      </w:pPr>
      <w:r>
        <w:t xml:space="preserve">The statistical concepts we’ve covered today are essential for fisheries biologists and ecologists:</w:t>
      </w:r>
    </w:p>
    <w:p>
      <w:pPr>
        <w:pStyle w:val="Compact"/>
        <w:numPr>
          <w:ilvl w:val="0"/>
          <w:numId w:val="1047"/>
        </w:numPr>
      </w:pPr>
      <w:r>
        <w:rPr>
          <w:b/>
          <w:bCs/>
        </w:rPr>
        <w:t xml:space="preserve">Standard error</w:t>
      </w:r>
      <w:r>
        <w:t xml:space="preserve"> </w:t>
      </w:r>
      <w:r>
        <w:t xml:space="preserve">quantifies uncertainty in growth rate estimates</w:t>
      </w:r>
    </w:p>
    <w:p>
      <w:pPr>
        <w:pStyle w:val="Compact"/>
        <w:numPr>
          <w:ilvl w:val="0"/>
          <w:numId w:val="1047"/>
        </w:numPr>
      </w:pPr>
      <w:r>
        <w:rPr>
          <w:b/>
          <w:bCs/>
        </w:rPr>
        <w:t xml:space="preserve">Confidence intervals</w:t>
      </w:r>
      <w:r>
        <w:t xml:space="preserve"> </w:t>
      </w:r>
      <w:r>
        <w:t xml:space="preserve">provide plausible ranges for population parameters</w:t>
      </w:r>
    </w:p>
    <w:p>
      <w:pPr>
        <w:pStyle w:val="Compact"/>
        <w:numPr>
          <w:ilvl w:val="0"/>
          <w:numId w:val="1047"/>
        </w:numPr>
      </w:pPr>
      <w:r>
        <w:rPr>
          <w:b/>
          <w:bCs/>
        </w:rPr>
        <w:t xml:space="preserve">Hypothesis testing</w:t>
      </w:r>
      <w:r>
        <w:t xml:space="preserve"> </w:t>
      </w:r>
      <w:r>
        <w:t xml:space="preserve">evaluates effects of management practices</w:t>
      </w:r>
    </w:p>
    <w:p>
      <w:pPr>
        <w:pStyle w:val="Compact"/>
        <w:numPr>
          <w:ilvl w:val="0"/>
          <w:numId w:val="1047"/>
        </w:numPr>
      </w:pPr>
      <w:r>
        <w:rPr>
          <w:b/>
          <w:bCs/>
        </w:rPr>
        <w:t xml:space="preserve">P-values</w:t>
      </w:r>
      <w:r>
        <w:t xml:space="preserve"> </w:t>
      </w:r>
      <w:r>
        <w:t xml:space="preserve">determine significance of environmental impacts</w:t>
      </w:r>
    </w:p>
    <w:p>
      <w:pPr>
        <w:pStyle w:val="FirstParagraph"/>
      </w:pPr>
      <w:r>
        <w:rPr>
          <w:b/>
          <w:bCs/>
        </w:rPr>
        <w:t xml:space="preserve">Real-world applications:</w:t>
      </w:r>
    </w:p>
    <w:p>
      <w:pPr>
        <w:pStyle w:val="Compact"/>
        <w:numPr>
          <w:ilvl w:val="0"/>
          <w:numId w:val="1048"/>
        </w:numPr>
      </w:pPr>
      <w:r>
        <w:t xml:space="preserve">Assessing population health and structure</w:t>
      </w:r>
    </w:p>
    <w:p>
      <w:pPr>
        <w:pStyle w:val="Compact"/>
        <w:numPr>
          <w:ilvl w:val="0"/>
          <w:numId w:val="1048"/>
        </w:numPr>
      </w:pPr>
      <w:r>
        <w:t xml:space="preserve">Evaluating effectiveness of fishing regulations</w:t>
      </w:r>
    </w:p>
    <w:p>
      <w:pPr>
        <w:pStyle w:val="Compact"/>
        <w:numPr>
          <w:ilvl w:val="0"/>
          <w:numId w:val="1048"/>
        </w:numPr>
      </w:pPr>
      <w:r>
        <w:t xml:space="preserve">Quantifying relationships between fish size and habitat variables</w:t>
      </w:r>
    </w:p>
    <w:p>
      <w:pPr>
        <w:pStyle w:val="Compact"/>
        <w:numPr>
          <w:ilvl w:val="0"/>
          <w:numId w:val="1048"/>
        </w:numPr>
      </w:pPr>
      <w:r>
        <w:t xml:space="preserve">Predicting impacts of climate change on fish populations</w:t>
      </w:r>
    </w:p>
    <w:p>
      <w:pPr>
        <w:pStyle w:val="Compact"/>
        <w:numPr>
          <w:ilvl w:val="0"/>
          <w:numId w:val="1048"/>
        </w:numPr>
      </w:pPr>
      <w:r>
        <w:t xml:space="preserve">Designing effective conservation strategies</w:t>
      </w:r>
    </w:p>
    <w:p>
      <w:pPr>
        <w:pStyle w:val="FirstParagraph"/>
      </w:pPr>
      <w:r>
        <w:drawing>
          <wp:inline>
            <wp:extent cx="6578600" cy="6578600"/>
            <wp:effectExtent b="0" l="0" r="0" t="0"/>
            <wp:docPr descr="" title="" id="90" name="Picture"/>
            <a:graphic>
              <a:graphicData uri="http://schemas.openxmlformats.org/drawingml/2006/picture">
                <pic:pic>
                  <pic:nvPicPr>
                    <pic:cNvPr descr="06_01_lecture_powerpoint_files/figure-docx/unnamed-chunk-6-1.png" id="91" name="Picture"/>
                    <pic:cNvPicPr>
                      <a:picLocks noChangeArrowheads="1" noChangeAspect="1"/>
                    </pic:cNvPicPr>
                  </pic:nvPicPr>
                  <pic:blipFill>
                    <a:blip r:embed="rId89"/>
                    <a:stretch>
                      <a:fillRect/>
                    </a:stretch>
                  </pic:blipFill>
                  <pic:spPr bwMode="auto">
                    <a:xfrm>
                      <a:off x="0" y="0"/>
                      <a:ext cx="6578600" cy="6578600"/>
                    </a:xfrm>
                    <a:prstGeom prst="rect">
                      <a:avLst/>
                    </a:prstGeom>
                    <a:noFill/>
                    <a:ln w="9525">
                      <a:noFill/>
                      <a:headEnd/>
                      <a:tailEnd/>
                    </a:ln>
                  </pic:spPr>
                </pic:pic>
              </a:graphicData>
            </a:graphic>
          </wp:inline>
        </w:drawing>
      </w:r>
    </w:p>
    <w:bookmarkEnd w:id="92"/>
    <w:bookmarkStart w:id="93" w:name="lecture-6-summary-and-key-takeaways"/>
    <w:p>
      <w:pPr>
        <w:pStyle w:val="Heading1"/>
      </w:pPr>
      <w:r>
        <w:rPr>
          <w:b/>
          <w:bCs/>
        </w:rPr>
        <w:t xml:space="preserve">Lecture 6:</w:t>
      </w:r>
      <w:r>
        <w:t xml:space="preserve"> </w:t>
      </w:r>
      <w:r>
        <w:t xml:space="preserve">Summary and Key Takeaways</w:t>
      </w:r>
    </w:p>
    <w:p>
      <w:pPr>
        <w:pStyle w:val="FirstParagraph"/>
      </w:pPr>
      <w:r>
        <w:rPr>
          <w:b/>
          <w:bCs/>
        </w:rPr>
        <w:t xml:space="preserve">Key concepts covered:</w:t>
      </w:r>
    </w:p>
    <w:p>
      <w:pPr>
        <w:pStyle w:val="Compact"/>
        <w:numPr>
          <w:ilvl w:val="0"/>
          <w:numId w:val="1049"/>
        </w:numPr>
      </w:pPr>
      <w:r>
        <w:rPr>
          <w:b/>
          <w:bCs/>
        </w:rPr>
        <w:t xml:space="preserve">P-values</w:t>
      </w:r>
      <w:r>
        <w:t xml:space="preserve"> </w:t>
      </w:r>
      <w:r>
        <w:t xml:space="preserve">measure evidence against the null hypothesis</w:t>
      </w:r>
    </w:p>
    <w:p>
      <w:pPr>
        <w:pStyle w:val="Compact"/>
        <w:numPr>
          <w:ilvl w:val="1"/>
          <w:numId w:val="1050"/>
        </w:numPr>
      </w:pPr>
      <w:r>
        <w:t xml:space="preserve">Not the probability that H₀ is true</w:t>
      </w:r>
    </w:p>
    <w:p>
      <w:pPr>
        <w:pStyle w:val="Compact"/>
        <w:numPr>
          <w:ilvl w:val="1"/>
          <w:numId w:val="1050"/>
        </w:numPr>
      </w:pPr>
      <w:r>
        <w:t xml:space="preserve">Should be interpreted in context with effect size</w:t>
      </w:r>
    </w:p>
    <w:p>
      <w:pPr>
        <w:pStyle w:val="Compact"/>
        <w:numPr>
          <w:ilvl w:val="0"/>
          <w:numId w:val="1049"/>
        </w:numPr>
      </w:pPr>
      <w:r>
        <w:rPr>
          <w:b/>
          <w:bCs/>
        </w:rPr>
        <w:t xml:space="preserve">Hypothesis testing</w:t>
      </w:r>
      <w:r>
        <w:t xml:space="preserve"> </w:t>
      </w:r>
      <w:r>
        <w:t xml:space="preserve">provides a framework for making decisions</w:t>
      </w:r>
    </w:p>
    <w:p>
      <w:pPr>
        <w:pStyle w:val="Compact"/>
        <w:numPr>
          <w:ilvl w:val="1"/>
          <w:numId w:val="1051"/>
        </w:numPr>
      </w:pPr>
      <w:r>
        <w:t xml:space="preserve">Null and alternative hypotheses must be specified beforehand</w:t>
      </w:r>
    </w:p>
    <w:p>
      <w:pPr>
        <w:pStyle w:val="Compact"/>
        <w:numPr>
          <w:ilvl w:val="1"/>
          <w:numId w:val="1051"/>
        </w:numPr>
      </w:pPr>
      <w:r>
        <w:t xml:space="preserve">α level determines Type I error rate</w:t>
      </w:r>
    </w:p>
    <w:p>
      <w:pPr>
        <w:pStyle w:val="Compact"/>
        <w:numPr>
          <w:ilvl w:val="0"/>
          <w:numId w:val="1049"/>
        </w:numPr>
      </w:pPr>
      <w:r>
        <w:rPr>
          <w:b/>
          <w:bCs/>
        </w:rPr>
        <w:t xml:space="preserve">Type I and Type II errors</w:t>
      </w:r>
      <w:r>
        <w:t xml:space="preserve"> </w:t>
      </w:r>
      <w:r>
        <w:t xml:space="preserve">represent different kinds of mistakes</w:t>
      </w:r>
    </w:p>
    <w:p>
      <w:pPr>
        <w:pStyle w:val="Compact"/>
        <w:numPr>
          <w:ilvl w:val="1"/>
          <w:numId w:val="1052"/>
        </w:numPr>
      </w:pPr>
      <w:r>
        <w:t xml:space="preserve">Type I (α): False positive - rejecting true H₀</w:t>
      </w:r>
    </w:p>
    <w:p>
      <w:pPr>
        <w:pStyle w:val="Compact"/>
        <w:numPr>
          <w:ilvl w:val="1"/>
          <w:numId w:val="1052"/>
        </w:numPr>
      </w:pPr>
      <w:r>
        <w:t xml:space="preserve">Type II (β): False negative - failing to reject false H₀</w:t>
      </w:r>
    </w:p>
    <w:p>
      <w:pPr>
        <w:pStyle w:val="Compact"/>
        <w:numPr>
          <w:ilvl w:val="1"/>
          <w:numId w:val="1052"/>
        </w:numPr>
      </w:pPr>
      <w:r>
        <w:t xml:space="preserve">Statistical power = 1 - β</w:t>
      </w:r>
    </w:p>
    <w:p>
      <w:pPr>
        <w:pStyle w:val="Compact"/>
        <w:numPr>
          <w:ilvl w:val="0"/>
          <w:numId w:val="1049"/>
        </w:numPr>
      </w:pPr>
      <w:r>
        <w:rPr>
          <w:b/>
          <w:bCs/>
        </w:rPr>
        <w:t xml:space="preserve">Error bars</w:t>
      </w:r>
      <w:r>
        <w:t xml:space="preserve"> </w:t>
      </w:r>
      <w:r>
        <w:t xml:space="preserve">communicate uncertainty in different ways</w:t>
      </w:r>
    </w:p>
    <w:p>
      <w:pPr>
        <w:pStyle w:val="Compact"/>
        <w:numPr>
          <w:ilvl w:val="1"/>
          <w:numId w:val="1053"/>
        </w:numPr>
      </w:pPr>
      <w:r>
        <w:t xml:space="preserve">Always check what type of error bar is shown</w:t>
      </w:r>
    </w:p>
    <w:p>
      <w:pPr>
        <w:pStyle w:val="Compact"/>
        <w:numPr>
          <w:ilvl w:val="1"/>
          <w:numId w:val="1053"/>
        </w:numPr>
      </w:pPr>
      <w:r>
        <w:t xml:space="preserve">CI bars help assess statistical significance</w:t>
      </w:r>
    </w:p>
    <w:p>
      <w:pPr>
        <w:pStyle w:val="Compact"/>
        <w:numPr>
          <w:ilvl w:val="0"/>
          <w:numId w:val="1049"/>
        </w:numPr>
      </w:pPr>
      <w:r>
        <w:rPr>
          <w:b/>
          <w:bCs/>
        </w:rPr>
        <w:t xml:space="preserve">Pseudoreplication</w:t>
      </w:r>
      <w:r>
        <w:t xml:space="preserve"> </w:t>
      </w:r>
      <w:r>
        <w:t xml:space="preserve">inflates significance</w:t>
      </w:r>
    </w:p>
    <w:p>
      <w:pPr>
        <w:pStyle w:val="Compact"/>
        <w:numPr>
          <w:ilvl w:val="1"/>
          <w:numId w:val="1054"/>
        </w:numPr>
      </w:pPr>
      <w:r>
        <w:t xml:space="preserve">Identify true experimental units</w:t>
      </w:r>
    </w:p>
    <w:p>
      <w:pPr>
        <w:pStyle w:val="Compact"/>
        <w:numPr>
          <w:ilvl w:val="1"/>
          <w:numId w:val="1054"/>
        </w:numPr>
      </w:pPr>
      <w:r>
        <w:t xml:space="preserve">Account for non-independence in analysis</w:t>
      </w:r>
    </w:p>
    <w:bookmarkEnd w:id="93"/>
    <w:sectPr w:rsidR="00BC5723" w:rsidRPr="00B22B0A" w:rsidSect="00B86ADC">
      <w:pgSz w:h="15840" w:w="12240"/>
      <w:pgMar w:bottom="720" w:footer="720" w:gutter="0" w:header="720" w:left="1152" w:right="720" w:top="720"/>
      <w:cols w:space="720"/>
      <w:docGrid w:linePitch="3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10006FF" w:usb1="4000FCFF" w:usb2="00000009"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7">
    <w:abstractNumId w:val="991"/>
  </w:num>
  <w:num w:numId="1038">
    <w:abstractNumId w:val="991"/>
  </w:num>
  <w:num w:numId="1039">
    <w:abstractNumId w:val="991"/>
  </w:num>
  <w:num w:numId="10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1">
    <w:abstractNumId w:val="991"/>
  </w:num>
  <w:num w:numId="104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0">
    <w:abstractNumId w:val="991"/>
  </w:num>
  <w:num w:numId="1051">
    <w:abstractNumId w:val="991"/>
  </w:num>
  <w:num w:numId="1052">
    <w:abstractNumId w:val="991"/>
  </w:num>
  <w:num w:numId="1053">
    <w:abstractNumId w:val="991"/>
  </w:num>
  <w:num w:numId="105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50"/>
  <w:embedSystemFonts/>
  <w:proofState w:grammar="clean" w:spelling="clean"/>
  <w:stylePaneFormatFilter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al="1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CF1"/>
    <w:rsid w:val="000E5E1A"/>
    <w:rsid w:val="0018210C"/>
    <w:rsid w:val="001D4BF4"/>
    <w:rsid w:val="00322D32"/>
    <w:rsid w:val="003A43E8"/>
    <w:rsid w:val="005316D4"/>
    <w:rsid w:val="00636BA6"/>
    <w:rsid w:val="00735D8A"/>
    <w:rsid w:val="00771E03"/>
    <w:rsid w:val="007D1245"/>
    <w:rsid w:val="00846576"/>
    <w:rsid w:val="008E7AF3"/>
    <w:rsid w:val="009F6993"/>
    <w:rsid w:val="00AF5CF1"/>
    <w:rsid w:val="00B22B0A"/>
    <w:rsid w:val="00B86ADC"/>
    <w:rsid w:val="00BC28E9"/>
    <w:rsid w:val="00BC5723"/>
    <w:rsid w:val="00BE2C86"/>
    <w:rsid w:val="00D216D4"/>
    <w:rsid w:val="00D50509"/>
    <w:rsid w:val="00D9646C"/>
    <w:rsid w:val="00DF1EEE"/>
    <w:rsid w:val="00F8534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cs="Times New Roman (Body CS)" w:eastAsiaTheme="minorHAnsi" w:hAnsi="Arial"/>
        <w:kern w:val="2"/>
        <w:sz w:val="24"/>
        <w:szCs w:val="24"/>
        <w:lang w:bidi="ar-SA" w:eastAsia="en-US" w:val="en-US"/>
        <w14:ligatures w14:val="standardContextual"/>
      </w:rPr>
    </w:rPrDefault>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style>
  <w:style w:styleId="Heading1" w:type="paragraph">
    <w:name w:val="heading 1"/>
    <w:basedOn w:val="Normal"/>
    <w:next w:val="Normal"/>
    <w:link w:val="Heading1Char"/>
    <w:uiPriority w:val="9"/>
    <w:qFormat/>
    <w:rsid w:val="00846576"/>
    <w:pPr>
      <w:keepNext/>
      <w:keepLines/>
      <w:spacing w:after="80" w:before="360"/>
      <w:outlineLvl w:val="0"/>
    </w:pPr>
    <w:rPr>
      <w:rFonts w:asciiTheme="majorHAnsi" w:cstheme="majorBidi" w:eastAsiaTheme="majorEastAsia" w:hAnsiTheme="majorHAnsi"/>
      <w:b/>
      <w:color w:themeColor="accent1" w:themeShade="BF" w:val="0F4761"/>
      <w:sz w:val="28"/>
      <w:szCs w:val="40"/>
    </w:rPr>
  </w:style>
  <w:style w:styleId="Heading2" w:type="paragraph">
    <w:name w:val="heading 2"/>
    <w:basedOn w:val="Normal"/>
    <w:next w:val="Normal"/>
    <w:link w:val="Heading2Char"/>
    <w:uiPriority w:val="9"/>
    <w:semiHidden/>
    <w:unhideWhenUsed/>
    <w:qFormat/>
    <w:rsid w:val="00846576"/>
    <w:pPr>
      <w:keepNext/>
      <w:keepLines/>
      <w:spacing w:after="80" w:before="160"/>
      <w:outlineLvl w:val="1"/>
    </w:pPr>
    <w:rPr>
      <w:rFonts w:asciiTheme="majorHAnsi" w:cstheme="majorBidi" w:eastAsiaTheme="majorEastAsia" w:hAnsiTheme="majorHAnsi"/>
      <w:color w:themeColor="accent1" w:themeShade="BF" w:val="0F4761"/>
      <w:szCs w:val="32"/>
    </w:rPr>
  </w:style>
  <w:style w:styleId="Heading3" w:type="paragraph">
    <w:name w:val="heading 3"/>
    <w:basedOn w:val="Normal"/>
    <w:next w:val="Normal"/>
    <w:link w:val="Heading3Char"/>
    <w:uiPriority w:val="9"/>
    <w:unhideWhenUsed/>
    <w:qFormat/>
    <w:rsid w:val="00846576"/>
    <w:pPr>
      <w:keepNext/>
      <w:keepLines/>
      <w:spacing w:after="80" w:before="160"/>
      <w:outlineLvl w:val="2"/>
    </w:pPr>
    <w:rPr>
      <w:rFonts w:asciiTheme="minorHAnsi" w:cstheme="majorBidi" w:eastAsiaTheme="majorEastAsia" w:hAnsiTheme="minorHAnsi"/>
      <w:color w:themeColor="accent1" w:themeShade="BF" w:val="0F4761"/>
      <w:sz w:val="22"/>
      <w:szCs w:val="28"/>
    </w:rPr>
  </w:style>
  <w:style w:styleId="Heading4" w:type="paragraph">
    <w:name w:val="heading 4"/>
    <w:basedOn w:val="Normal"/>
    <w:next w:val="Normal"/>
    <w:link w:val="Heading4Char"/>
    <w:uiPriority w:val="9"/>
    <w:semiHidden/>
    <w:unhideWhenUsed/>
    <w:qFormat/>
    <w:rsid w:val="00846576"/>
    <w:pPr>
      <w:keepNext/>
      <w:keepLines/>
      <w:spacing w:after="40" w:before="80"/>
      <w:outlineLvl w:val="3"/>
    </w:pPr>
    <w:rPr>
      <w:rFonts w:asciiTheme="minorHAnsi" w:cstheme="majorBidi" w:eastAsiaTheme="majorEastAsia" w:hAnsiTheme="minorHAnsi"/>
      <w:iCs/>
      <w:color w:themeColor="accent1" w:themeShade="BF" w:val="0F4761"/>
    </w:rPr>
  </w:style>
  <w:style w:styleId="Heading5" w:type="paragraph">
    <w:name w:val="heading 5"/>
    <w:basedOn w:val="Normal"/>
    <w:next w:val="Normal"/>
    <w:link w:val="Heading5Char"/>
    <w:uiPriority w:val="9"/>
    <w:semiHidden/>
    <w:unhideWhenUsed/>
    <w:qFormat/>
    <w:rsid w:val="00AF5CF1"/>
    <w:pPr>
      <w:keepNext/>
      <w:keepLines/>
      <w:spacing w:after="40" w:before="80"/>
      <w:outlineLvl w:val="4"/>
    </w:pPr>
    <w:rPr>
      <w:rFonts w:asciiTheme="minorHAnsi" w:cstheme="majorBidi" w:eastAsiaTheme="majorEastAsia" w:hAnsiTheme="minorHAnsi"/>
      <w:color w:themeColor="accent1" w:themeShade="BF" w:val="0F4761"/>
    </w:rPr>
  </w:style>
  <w:style w:styleId="Heading6" w:type="paragraph">
    <w:name w:val="heading 6"/>
    <w:basedOn w:val="Normal"/>
    <w:next w:val="Normal"/>
    <w:link w:val="Heading6Char"/>
    <w:uiPriority w:val="9"/>
    <w:semiHidden/>
    <w:unhideWhenUsed/>
    <w:qFormat/>
    <w:rsid w:val="00846576"/>
    <w:pPr>
      <w:keepNext/>
      <w:keepLines/>
      <w:spacing w:before="40"/>
      <w:outlineLvl w:val="5"/>
    </w:pPr>
    <w:rPr>
      <w:rFonts w:asciiTheme="minorHAnsi" w:cstheme="majorBidi" w:eastAsiaTheme="majorEastAsia" w:hAnsiTheme="minorHAnsi"/>
      <w:iCs/>
      <w:color w:themeColor="text1" w:themeTint="A6" w:val="595959"/>
    </w:rPr>
  </w:style>
  <w:style w:styleId="Heading7" w:type="paragraph">
    <w:name w:val="heading 7"/>
    <w:basedOn w:val="Normal"/>
    <w:next w:val="Normal"/>
    <w:link w:val="Heading7Char"/>
    <w:uiPriority w:val="9"/>
    <w:semiHidden/>
    <w:unhideWhenUsed/>
    <w:qFormat/>
    <w:rsid w:val="00AF5CF1"/>
    <w:pPr>
      <w:keepNext/>
      <w:keepLines/>
      <w:spacing w:before="40"/>
      <w:outlineLvl w:val="6"/>
    </w:pPr>
    <w:rPr>
      <w:rFonts w:asciiTheme="minorHAnsi" w:cstheme="majorBidi" w:eastAsiaTheme="majorEastAsia" w:hAnsiTheme="minorHAnsi"/>
      <w:color w:themeColor="text1" w:themeTint="A6" w:val="595959"/>
    </w:rPr>
  </w:style>
  <w:style w:styleId="Heading8" w:type="paragraph">
    <w:name w:val="heading 8"/>
    <w:basedOn w:val="Normal"/>
    <w:next w:val="Normal"/>
    <w:link w:val="Heading8Char"/>
    <w:uiPriority w:val="9"/>
    <w:semiHidden/>
    <w:unhideWhenUsed/>
    <w:qFormat/>
    <w:rsid w:val="00846576"/>
    <w:pPr>
      <w:keepNext/>
      <w:keepLines/>
      <w:outlineLvl w:val="7"/>
    </w:pPr>
    <w:rPr>
      <w:rFonts w:asciiTheme="minorHAnsi" w:cstheme="majorBidi" w:eastAsiaTheme="majorEastAsia" w:hAnsiTheme="minorHAnsi"/>
      <w:iCs/>
      <w:color w:themeColor="text1" w:themeTint="D8" w:val="272727"/>
    </w:rPr>
  </w:style>
  <w:style w:styleId="Heading9" w:type="paragraph">
    <w:name w:val="heading 9"/>
    <w:basedOn w:val="Normal"/>
    <w:next w:val="Normal"/>
    <w:link w:val="Heading9Char"/>
    <w:uiPriority w:val="9"/>
    <w:semiHidden/>
    <w:unhideWhenUsed/>
    <w:qFormat/>
    <w:rsid w:val="00846576"/>
    <w:pPr>
      <w:keepNext/>
      <w:keepLines/>
      <w:outlineLvl w:val="8"/>
    </w:pPr>
    <w:rPr>
      <w:rFonts w:asciiTheme="minorHAnsi" w:cstheme="majorBidi" w:eastAsiaTheme="majorEastAsia" w:hAnsiTheme="minorHAnsi"/>
      <w:color w:themeColor="text1" w:themeTint="D8" w:val="272727"/>
      <w:sz w:val="2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846576"/>
    <w:rPr>
      <w:rFonts w:asciiTheme="majorHAnsi" w:cstheme="majorBidi" w:eastAsiaTheme="majorEastAsia" w:hAnsiTheme="majorHAnsi"/>
      <w:b/>
      <w:color w:themeColor="accent1" w:themeShade="BF" w:val="0F4761"/>
      <w:sz w:val="28"/>
      <w:szCs w:val="40"/>
    </w:rPr>
  </w:style>
  <w:style w:customStyle="1" w:styleId="Heading2Char" w:type="character">
    <w:name w:val="Heading 2 Char"/>
    <w:basedOn w:val="DefaultParagraphFont"/>
    <w:link w:val="Heading2"/>
    <w:uiPriority w:val="9"/>
    <w:semiHidden/>
    <w:rsid w:val="00846576"/>
    <w:rPr>
      <w:rFonts w:asciiTheme="majorHAnsi" w:cstheme="majorBidi" w:eastAsiaTheme="majorEastAsia" w:hAnsiTheme="majorHAnsi"/>
      <w:color w:themeColor="accent1" w:themeShade="BF" w:val="0F4761"/>
      <w:szCs w:val="32"/>
    </w:rPr>
  </w:style>
  <w:style w:customStyle="1" w:styleId="Heading3Char" w:type="character">
    <w:name w:val="Heading 3 Char"/>
    <w:basedOn w:val="DefaultParagraphFont"/>
    <w:link w:val="Heading3"/>
    <w:uiPriority w:val="9"/>
    <w:rsid w:val="00846576"/>
    <w:rPr>
      <w:rFonts w:asciiTheme="minorHAnsi" w:cstheme="majorBidi" w:eastAsiaTheme="majorEastAsia" w:hAnsiTheme="minorHAnsi"/>
      <w:color w:themeColor="accent1" w:themeShade="BF" w:val="0F4761"/>
      <w:sz w:val="22"/>
      <w:szCs w:val="28"/>
    </w:rPr>
  </w:style>
  <w:style w:customStyle="1" w:styleId="Heading4Char" w:type="character">
    <w:name w:val="Heading 4 Char"/>
    <w:basedOn w:val="DefaultParagraphFont"/>
    <w:link w:val="Heading4"/>
    <w:uiPriority w:val="9"/>
    <w:semiHidden/>
    <w:rsid w:val="00846576"/>
    <w:rPr>
      <w:rFonts w:asciiTheme="minorHAnsi" w:cstheme="majorBidi" w:eastAsiaTheme="majorEastAsia" w:hAnsiTheme="minorHAnsi"/>
      <w:iCs/>
      <w:color w:themeColor="accent1" w:themeShade="BF" w:val="0F4761"/>
    </w:rPr>
  </w:style>
  <w:style w:customStyle="1" w:styleId="Heading5Char" w:type="character">
    <w:name w:val="Heading 5 Char"/>
    <w:basedOn w:val="DefaultParagraphFont"/>
    <w:link w:val="Heading5"/>
    <w:uiPriority w:val="9"/>
    <w:semiHidden/>
    <w:rsid w:val="00AF5CF1"/>
    <w:rPr>
      <w:rFonts w:asciiTheme="minorHAnsi" w:cstheme="majorBidi" w:eastAsiaTheme="majorEastAsia" w:hAnsiTheme="minorHAnsi"/>
      <w:color w:themeColor="accent1" w:themeShade="BF" w:val="0F4761"/>
    </w:rPr>
  </w:style>
  <w:style w:customStyle="1" w:styleId="Heading6Char" w:type="character">
    <w:name w:val="Heading 6 Char"/>
    <w:basedOn w:val="DefaultParagraphFont"/>
    <w:link w:val="Heading6"/>
    <w:uiPriority w:val="9"/>
    <w:semiHidden/>
    <w:rsid w:val="00846576"/>
    <w:rPr>
      <w:rFonts w:asciiTheme="minorHAnsi" w:cstheme="majorBidi" w:eastAsiaTheme="majorEastAsia" w:hAnsiTheme="minorHAnsi"/>
      <w:iCs/>
      <w:color w:themeColor="text1" w:themeTint="A6" w:val="595959"/>
    </w:rPr>
  </w:style>
  <w:style w:customStyle="1" w:styleId="Heading7Char" w:type="character">
    <w:name w:val="Heading 7 Char"/>
    <w:basedOn w:val="DefaultParagraphFont"/>
    <w:link w:val="Heading7"/>
    <w:uiPriority w:val="9"/>
    <w:semiHidden/>
    <w:rsid w:val="00AF5CF1"/>
    <w:rPr>
      <w:rFonts w:asciiTheme="minorHAnsi" w:cstheme="majorBidi" w:eastAsiaTheme="majorEastAsia" w:hAnsiTheme="minorHAnsi"/>
      <w:color w:themeColor="text1" w:themeTint="A6" w:val="595959"/>
    </w:rPr>
  </w:style>
  <w:style w:customStyle="1" w:styleId="Heading8Char" w:type="character">
    <w:name w:val="Heading 8 Char"/>
    <w:basedOn w:val="DefaultParagraphFont"/>
    <w:link w:val="Heading8"/>
    <w:uiPriority w:val="9"/>
    <w:semiHidden/>
    <w:rsid w:val="00846576"/>
    <w:rPr>
      <w:rFonts w:asciiTheme="minorHAnsi" w:cstheme="majorBidi" w:eastAsiaTheme="majorEastAsia" w:hAnsiTheme="minorHAnsi"/>
      <w:iCs/>
      <w:color w:themeColor="text1" w:themeTint="D8" w:val="272727"/>
    </w:rPr>
  </w:style>
  <w:style w:customStyle="1" w:styleId="Heading9Char" w:type="character">
    <w:name w:val="Heading 9 Char"/>
    <w:basedOn w:val="DefaultParagraphFont"/>
    <w:link w:val="Heading9"/>
    <w:uiPriority w:val="9"/>
    <w:semiHidden/>
    <w:rsid w:val="00846576"/>
    <w:rPr>
      <w:rFonts w:asciiTheme="minorHAnsi" w:cstheme="majorBidi" w:eastAsiaTheme="majorEastAsia" w:hAnsiTheme="minorHAnsi"/>
      <w:color w:themeColor="text1" w:themeTint="D8" w:val="272727"/>
      <w:sz w:val="22"/>
    </w:rPr>
  </w:style>
  <w:style w:styleId="Title" w:type="paragraph">
    <w:name w:val="Title"/>
    <w:basedOn w:val="Normal"/>
    <w:next w:val="Normal"/>
    <w:link w:val="TitleChar"/>
    <w:uiPriority w:val="10"/>
    <w:qFormat/>
    <w:rsid w:val="00AF5CF1"/>
    <w:pPr>
      <w:spacing w:after="80"/>
      <w:contextualSpacing/>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F5CF1"/>
    <w:rPr>
      <w:rFonts w:asciiTheme="majorHAnsi" w:cstheme="majorBidi" w:eastAsiaTheme="majorEastAsia" w:hAnsiTheme="majorHAnsi"/>
      <w:spacing w:val="-10"/>
      <w:kern w:val="28"/>
      <w:sz w:val="56"/>
      <w:szCs w:val="56"/>
    </w:rPr>
  </w:style>
  <w:style w:styleId="Subtitle" w:type="paragraph">
    <w:name w:val="Subtitle"/>
    <w:basedOn w:val="Normal"/>
    <w:next w:val="Normal"/>
    <w:link w:val="SubtitleChar"/>
    <w:uiPriority w:val="11"/>
    <w:qFormat/>
    <w:rsid w:val="00AF5CF1"/>
    <w:pPr>
      <w:numPr>
        <w:ilvl w:val="1"/>
      </w:numPr>
      <w:spacing w:after="160"/>
    </w:pPr>
    <w:rPr>
      <w:rFonts w:asciiTheme="minorHAnsi" w:cstheme="majorBidi" w:eastAsiaTheme="majorEastAsia" w:hAnsiTheme="minorHAnsi"/>
      <w:color w:themeColor="text1" w:themeTint="A6" w:val="595959"/>
      <w:spacing w:val="15"/>
      <w:sz w:val="28"/>
      <w:szCs w:val="28"/>
    </w:rPr>
  </w:style>
  <w:style w:customStyle="1" w:styleId="SubtitleChar" w:type="character">
    <w:name w:val="Subtitle Char"/>
    <w:basedOn w:val="DefaultParagraphFont"/>
    <w:link w:val="Subtitle"/>
    <w:uiPriority w:val="11"/>
    <w:rsid w:val="00AF5CF1"/>
    <w:rPr>
      <w:rFonts w:asciiTheme="minorHAnsi" w:cstheme="majorBidi" w:eastAsiaTheme="majorEastAsia" w:hAnsiTheme="minorHAnsi"/>
      <w:color w:themeColor="text1" w:themeTint="A6" w:val="595959"/>
      <w:spacing w:val="15"/>
      <w:sz w:val="28"/>
      <w:szCs w:val="28"/>
    </w:rPr>
  </w:style>
  <w:style w:styleId="Quote" w:type="paragraph">
    <w:name w:val="Quote"/>
    <w:basedOn w:val="Normal"/>
    <w:next w:val="Normal"/>
    <w:link w:val="QuoteChar"/>
    <w:uiPriority w:val="29"/>
    <w:qFormat/>
    <w:rsid w:val="00AF5CF1"/>
    <w:pPr>
      <w:spacing w:after="160" w:before="160"/>
      <w:jc w:val="center"/>
    </w:pPr>
    <w:rPr>
      <w:i/>
      <w:iCs/>
      <w:color w:themeColor="text1" w:themeTint="BF" w:val="404040"/>
    </w:rPr>
  </w:style>
  <w:style w:customStyle="1" w:styleId="QuoteChar" w:type="character">
    <w:name w:val="Quote Char"/>
    <w:basedOn w:val="DefaultParagraphFont"/>
    <w:link w:val="Quote"/>
    <w:uiPriority w:val="29"/>
    <w:rsid w:val="00AF5CF1"/>
    <w:rPr>
      <w:i/>
      <w:iCs/>
      <w:color w:themeColor="text1" w:themeTint="BF" w:val="404040"/>
    </w:rPr>
  </w:style>
  <w:style w:styleId="ListParagraph" w:type="paragraph">
    <w:name w:val="List Paragraph"/>
    <w:basedOn w:val="Normal"/>
    <w:uiPriority w:val="34"/>
    <w:qFormat/>
    <w:rsid w:val="00AF5CF1"/>
    <w:pPr>
      <w:ind w:left="720"/>
      <w:contextualSpacing/>
    </w:pPr>
  </w:style>
  <w:style w:styleId="IntenseEmphasis" w:type="character">
    <w:name w:val="Intense Emphasis"/>
    <w:basedOn w:val="DefaultParagraphFont"/>
    <w:uiPriority w:val="21"/>
    <w:qFormat/>
    <w:rsid w:val="00AF5CF1"/>
    <w:rPr>
      <w:i/>
      <w:iCs/>
      <w:color w:themeColor="accent1" w:themeShade="BF" w:val="0F4761"/>
    </w:rPr>
  </w:style>
  <w:style w:styleId="IntenseQuote" w:type="paragraph">
    <w:name w:val="Intense Quote"/>
    <w:basedOn w:val="Normal"/>
    <w:next w:val="Normal"/>
    <w:link w:val="IntenseQuoteChar"/>
    <w:uiPriority w:val="30"/>
    <w:qFormat/>
    <w:rsid w:val="00AF5CF1"/>
    <w:pPr>
      <w:pBdr>
        <w:top w:color="0F4761" w:space="10" w:sz="4" w:themeColor="accent1" w:themeShade="BF" w:val="single"/>
        <w:bottom w:color="0F4761" w:space="10" w:sz="4" w:themeColor="accent1" w:themeShade="BF" w:val="single"/>
      </w:pBdr>
      <w:spacing w:after="360" w:before="360"/>
      <w:ind w:left="864" w:right="864"/>
      <w:jc w:val="center"/>
    </w:pPr>
    <w:rPr>
      <w:i/>
      <w:iCs/>
      <w:color w:themeColor="accent1" w:themeShade="BF" w:val="0F4761"/>
    </w:rPr>
  </w:style>
  <w:style w:customStyle="1" w:styleId="IntenseQuoteChar" w:type="character">
    <w:name w:val="Intense Quote Char"/>
    <w:basedOn w:val="DefaultParagraphFont"/>
    <w:link w:val="IntenseQuote"/>
    <w:uiPriority w:val="30"/>
    <w:rsid w:val="00AF5CF1"/>
    <w:rPr>
      <w:i/>
      <w:iCs/>
      <w:color w:themeColor="accent1" w:themeShade="BF" w:val="0F4761"/>
    </w:rPr>
  </w:style>
  <w:style w:styleId="IntenseReference" w:type="character">
    <w:name w:val="Intense Reference"/>
    <w:basedOn w:val="DefaultParagraphFont"/>
    <w:uiPriority w:val="32"/>
    <w:qFormat/>
    <w:rsid w:val="00AF5CF1"/>
    <w:rPr>
      <w:b/>
      <w:bCs/>
      <w:smallCaps/>
      <w:color w:themeColor="accent1" w:themeShade="BF" w:val="0F4761"/>
      <w:spacing w:val="5"/>
    </w:rPr>
  </w:style>
  <w:style w:styleId="HTMLCode" w:type="character">
    <w:name w:val="HTML Code"/>
    <w:basedOn w:val="DefaultParagraphFont"/>
    <w:uiPriority w:val="99"/>
    <w:unhideWhenUsed/>
    <w:rsid w:val="00771E03"/>
    <w:rPr>
      <w:rFonts w:ascii="Consolas" w:cs="Consolas" w:hAnsi="Consolas"/>
      <w:sz w:val="18"/>
      <w:szCs w:val="20"/>
    </w:rPr>
  </w:style>
  <w:style w:customStyle="1" w:styleId="Code" w:type="paragraph">
    <w:name w:val="Code"/>
    <w:basedOn w:val="Normal"/>
    <w:next w:val="Normal"/>
    <w:qFormat/>
    <w:rsid w:val="00B86ADC"/>
    <w:pPr>
      <w:pBdr>
        <w:top w:color="FF0000" w:space="1" w:sz="8" w:val="single"/>
        <w:left w:color="FF0000" w:space="4" w:sz="8" w:val="single"/>
        <w:bottom w:color="FF0000" w:space="1" w:sz="8" w:val="single"/>
        <w:right w:color="FF0000" w:space="4" w:sz="8" w:val="single"/>
      </w:pBdr>
      <w:shd w:color="auto" w:fill="auto" w:val="pct15"/>
      <w:spacing w:after="120" w:before="120"/>
      <w:ind w:left="432" w:right="432"/>
    </w:pPr>
    <w:rPr>
      <w:rFonts w:ascii="Courier New" w:hAnsi="Courier New"/>
      <w:sz w:val="16"/>
    </w:rPr>
  </w:style>
  <w:style w:customStyle="1" w:styleId="SourceCode" w:type="paragraph">
    <w:name w:val="Source Code"/>
    <w:basedOn w:val="Normal"/>
    <w:qFormat/>
    <w:rsid w:val="0018210C"/>
    <w:pPr>
      <w:pBdr>
        <w:top w:color="auto" w:space="1" w:sz="8" w:val="single"/>
        <w:left w:color="auto" w:space="4" w:sz="8" w:val="single"/>
        <w:bottom w:color="auto" w:space="1" w:sz="8" w:val="single"/>
        <w:right w:color="auto" w:space="4" w:sz="8" w:val="single"/>
      </w:pBdr>
      <w:shd w:color="auto" w:fill="auto" w:val="pct5"/>
      <w:spacing w:after="240" w:before="240"/>
      <w:ind w:left="432" w:right="432"/>
    </w:pPr>
    <w:rPr>
      <w:rFonts w:ascii="Courier New" w:hAnsi="Courier New"/>
      <w:sz w:val="15"/>
    </w:rPr>
  </w:style>
  <w:style w:customStyle="1" w:styleId="Verbatim" w:type="paragraph">
    <w:name w:val="Verbatim"/>
    <w:basedOn w:val="Normal"/>
    <w:qFormat/>
    <w:rsid w:val="0018210C"/>
    <w:pPr>
      <w:shd w:color="auto" w:fill="auto" w:val="pct15"/>
      <w:spacing w:after="240" w:before="240"/>
      <w:ind w:left="432" w:right="432"/>
    </w:pPr>
    <w:rPr>
      <w:rFonts w:ascii="Courier New" w:hAnsi="Courier New"/>
      <w:sz w:val="16"/>
    </w:rPr>
  </w:style>
  <w:style w:customStyle="1" w:styleId="CodeBlock" w:type="paragraph">
    <w:name w:val="Code Block"/>
    <w:basedOn w:val="Verbatim"/>
    <w:qFormat/>
    <w:rsid w:val="00BC28E9"/>
  </w:style>
  <w:style w:styleId="CommentText" w:type="paragraph">
    <w:name w:val="annotation text"/>
    <w:basedOn w:val="Normal"/>
    <w:link w:val="CommentTextChar"/>
    <w:uiPriority w:val="99"/>
    <w:unhideWhenUsed/>
    <w:rsid w:val="00771E03"/>
    <w:rPr>
      <w:sz w:val="20"/>
      <w:szCs w:val="20"/>
    </w:rPr>
  </w:style>
  <w:style w:customStyle="1" w:styleId="CommentTextChar" w:type="character">
    <w:name w:val="Comment Text Char"/>
    <w:basedOn w:val="DefaultParagraphFont"/>
    <w:link w:val="CommentText"/>
    <w:uiPriority w:val="99"/>
    <w:rsid w:val="00771E03"/>
    <w:rPr>
      <w:sz w:val="20"/>
      <w:szCs w:val="20"/>
    </w:rPr>
  </w:style>
  <w:style w:styleId="TOC1" w:type="paragraph">
    <w:name w:val="toc 1"/>
    <w:basedOn w:val="Normal"/>
    <w:next w:val="Normal"/>
    <w:autoRedefine/>
    <w:uiPriority w:val="39"/>
    <w:unhideWhenUsed/>
    <w:rsid w:val="00322D32"/>
    <w:pPr>
      <w:spacing w:after="100"/>
    </w:pPr>
  </w:style>
  <w:style w:customStyle="1" w:styleId="Graphic" w:type="paragraph">
    <w:name w:val="Graphic"/>
    <w:qFormat/>
    <w:rsid w:val="00735D8A"/>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76" Target="media/rId76.png" /><Relationship Type="http://schemas.openxmlformats.org/officeDocument/2006/relationships/image" Id="rId48" Target="media/rId48.png" /><Relationship Type="http://schemas.openxmlformats.org/officeDocument/2006/relationships/image" Id="rId72" Target="media/rId72.png" /><Relationship Type="http://schemas.openxmlformats.org/officeDocument/2006/relationships/image" Id="rId81" Target="media/rId81.png" /><Relationship Type="http://schemas.openxmlformats.org/officeDocument/2006/relationships/image" Id="rId85" Target="media/rId85.png" /><Relationship Type="http://schemas.openxmlformats.org/officeDocument/2006/relationships/image" Id="rId89" Target="media/rId89.png" /><Relationship Type="http://schemas.openxmlformats.org/officeDocument/2006/relationships/image" Id="rId60" Target="media/rId60.png" /><Relationship Type="http://schemas.openxmlformats.org/officeDocument/2006/relationships/image" Id="rId68" Target="media/rId68.png" /><Relationship Type="http://schemas.openxmlformats.org/officeDocument/2006/relationships/image" Id="rId52" Target="media/rId52.png" /><Relationship Type="http://schemas.openxmlformats.org/officeDocument/2006/relationships/image" Id="rId64" Target="media/rId64.png" /><Relationship Type="http://schemas.openxmlformats.org/officeDocument/2006/relationships/image" Id="rId20" Target="media/rId20.png" /><Relationship Type="http://schemas.openxmlformats.org/officeDocument/2006/relationships/image" Id="rId56" Target="media/rId56.png" /><Relationship Type="http://schemas.openxmlformats.org/officeDocument/2006/relationships/image" Id="rId25" Target="media/rId25.jpg" /><Relationship Type="http://schemas.openxmlformats.org/officeDocument/2006/relationships/image" Id="rId29" Target="media/rId29.png" /><Relationship Type="http://schemas.openxmlformats.org/officeDocument/2006/relationships/image" Id="rId33" Target="media/rId33.jp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Lecture 06</dc:title>
  <dc:creator>Bill Perry</dc:creator>
  <cp:keywords/>
  <dcterms:created xsi:type="dcterms:W3CDTF">2025-08-22T22:21:18Z</dcterms:created>
  <dcterms:modified xsi:type="dcterms:W3CDTF">2025-08-22T22:21:18Z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efault">
    <vt:lpwstr>True</vt:lpwstr>
  </property>
  <property fmtid="{D5CDD505-2E9C-101B-9397-08002B2CF9AE}" pid="6" name="editor">
    <vt:lpwstr>visual</vt:lpwstr>
  </property>
  <property fmtid="{D5CDD505-2E9C-101B-9397-08002B2CF9AE}" pid="7" name="execute">
    <vt:lpwstr/>
  </property>
  <property fmtid="{D5CDD505-2E9C-101B-9397-08002B2CF9AE}" pid="8" name="format">
    <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toc-title">
    <vt:lpwstr>Table of contents</vt:lpwstr>
  </property>
</Properties>
</file>