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1.png" ContentType="image/png"/>
  <Override PartName="/word/media/rId15.png" ContentType="image/png"/>
  <Override PartName="/word/media/rId1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Common Code 13 — Joining Data Frames</w:t>
      </w:r>
    </w:p>
    <w:p>
      <w:pPr>
        <w:pStyle w:val="Subtitle"/>
      </w:pPr>
      <w:r>
        <w:t xml:space="preserve">left_join, inner_join, full_join, anti_join — merging tables by a shared key</w:t>
      </w:r>
    </w:p>
    <w:p>
      <w:pPr>
        <w:pStyle w:val="Author"/>
      </w:pPr>
      <w:r>
        <w:t xml:space="preserve">Bill Perry</w:t>
      </w:r>
    </w:p>
    <w:p>
      <w:pPr>
        <w:pStyle w:val="Date"/>
      </w:pPr>
      <w:r>
        <w:t xml:space="preserve">2026-07-05</w:t>
      </w:r>
    </w:p>
    <w:bookmarkStart w:id="10" w:name="joining-data-frames"/>
    <w:p>
      <w:pPr>
        <w:pStyle w:val="Heading1"/>
      </w:pPr>
      <w:r>
        <w:t xml:space="preserve">Joining data frames</w:t>
      </w:r>
    </w:p>
    <w:p>
      <w:pPr>
        <w:pStyle w:val="FirstParagraph"/>
      </w:pPr>
      <w:r>
        <w:t xml:space="preserve">When your data lives in two spreadsheets — fish measurements in one file,</w:t>
      </w:r>
      <w:r>
        <w:t xml:space="preserve"> </w:t>
      </w:r>
      <w:r>
        <w:t xml:space="preserve">site environmental data in another — you need to</w:t>
      </w:r>
      <w:r>
        <w:t xml:space="preserve"> </w:t>
      </w:r>
      <w:r>
        <w:rPr>
          <w:b/>
          <w:bCs/>
        </w:rPr>
        <w:t xml:space="preserve">join</w:t>
      </w:r>
      <w:r>
        <w:t xml:space="preserve"> </w:t>
      </w:r>
      <w:r>
        <w:t xml:space="preserve">them by a shared</w:t>
      </w:r>
      <w:r>
        <w:t xml:space="preserve"> </w:t>
      </w:r>
      <w:r>
        <w:t xml:space="preserve">column (the key). The</w:t>
      </w:r>
      <w:r>
        <w:t xml:space="preserve"> </w:t>
      </w:r>
      <w:r>
        <w:rPr>
          <w:rStyle w:val="VerbatimChar"/>
        </w:rPr>
        <w:t xml:space="preserve">dplyr</w:t>
      </w:r>
      <w:r>
        <w:t xml:space="preserve"> </w:t>
      </w:r>
      <w:r>
        <w:t xml:space="preserve">join functions do this cleanly and safely.</w:t>
      </w:r>
    </w:p>
    <w:p>
      <w:pPr>
        <w:pStyle w:val="BlockText"/>
      </w:pPr>
      <w:r>
        <w:t xml:space="preserve">⬇️</w:t>
      </w:r>
      <w:r>
        <w:t xml:space="preserve"> </w:t>
      </w:r>
      <w:r>
        <w:rPr>
          <w:b/>
          <w:bCs/>
        </w:rPr>
        <w:t xml:space="preserve">Download the companion R script:</w:t>
      </w:r>
      <w:r>
        <w:t xml:space="preserve"> </w:t>
      </w:r>
      <w:hyperlink r:id="rId9">
        <w:r>
          <w:rPr>
            <w:rStyle w:val="VerbatimChar"/>
          </w:rPr>
          <w:t xml:space="preserve">13_joins.R</w:t>
        </w:r>
      </w:hyperlink>
    </w:p>
    <w:p>
      <w:pPr>
        <w:pStyle w:val="SourceCode"/>
      </w:pPr>
      <w:r>
        <w:rPr>
          <w:rStyle w:val="FunctionTok"/>
        </w:rPr>
        <w:t xml:space="preserve">library</w:t>
      </w:r>
      <w:r>
        <w:rPr>
          <w:rStyle w:val="NormalTok"/>
        </w:rPr>
        <w:t xml:space="preserve">(tidyverse)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(nycflights13)   </w:t>
      </w:r>
      <w:r>
        <w:rPr>
          <w:rStyle w:val="CommentTok"/>
        </w:rPr>
        <w:t xml:space="preserve"># flights, airlines, airports, weather, planes</w:t>
      </w:r>
    </w:p>
    <w:p>
      <w:r>
        <w:pict>
          <v:rect style="width:0;height:1.5pt" o:hralign="center" o:hrstd="t" o:hr="t"/>
        </w:pict>
      </w:r>
    </w:p>
    <w:bookmarkEnd w:id="10"/>
    <w:bookmarkStart w:id="14" w:name="the-four-join-types"/>
    <w:p>
      <w:pPr>
        <w:pStyle w:val="Heading1"/>
      </w:pPr>
      <w:r>
        <w:t xml:space="preserve">1 · The four join types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2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1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Which join do I need?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tbl>
            <w:tblPr>
              <w:tblStyle w:val="Table"/>
              <w:tblW w:type="pct" w:w="5000"/>
              <w:tblLayout w:type="fixed"/>
              <w:tblLook w:firstRow="1" w:lastRow="0" w:firstColumn="0" w:lastColumn="0" w:noHBand="0" w:noVBand="0" w:val="0020"/>
            </w:tblPr>
            <w:tblGrid>
              <w:gridCol w:w="2640"/>
              <w:gridCol w:w="2640"/>
              <w:gridCol w:w="2640"/>
            </w:tblGrid>
            <w:tr>
              <w:trPr>
                <w:tblHeader w:val="on"/>
              </w:trPr>
              <w:tc>
                <w:tcPr/>
                <w:p>
                  <w:pPr>
                    <w:pStyle w:val="Compact"/>
                  </w:pPr>
                  <w:r>
                    <w:t xml:space="preserve">Join</w:t>
                  </w:r>
                </w:p>
              </w:tc>
              <w:tc>
                <w:tcPr/>
                <w:p>
                  <w:pPr>
                    <w:pStyle w:val="Compact"/>
                  </w:pPr>
                  <w:r>
                    <w:t xml:space="preserve">Keeps rows from</w:t>
                  </w:r>
                </w:p>
              </w:tc>
              <w:tc>
                <w:tcPr/>
                <w:p>
                  <w:pPr>
                    <w:pStyle w:val="Compact"/>
                  </w:pPr>
                  <w:r>
                    <w:t xml:space="preserve">What happens to non-matches</w:t>
                  </w:r>
                </w:p>
              </w:tc>
            </w:tr>
            <w:tr>
              <w:tc>
                <w:tcPr/>
                <w:p>
                  <w:pPr>
                    <w:pStyle w:val="Compact"/>
                  </w:pPr>
                  <w:r>
                    <w:rPr>
                      <w:rStyle w:val="VerbatimChar"/>
                    </w:rPr>
                    <w:t xml:space="preserve">left_join(x, y)</w:t>
                  </w:r>
                </w:p>
              </w:tc>
              <w:tc>
                <w:tcPr/>
                <w:p>
                  <w:pPr>
                    <w:pStyle w:val="Compact"/>
                  </w:pPr>
                  <w:r>
                    <w:t xml:space="preserve">All of</w:t>
                  </w:r>
                  <w:r>
                    <w:t xml:space="preserve"> </w:t>
                  </w:r>
                  <w:r>
                    <w:rPr>
                      <w:b/>
                      <w:bCs/>
                    </w:rPr>
                    <w:t xml:space="preserve">x</w:t>
                  </w:r>
                </w:p>
              </w:tc>
              <w:tc>
                <w:tcPr/>
                <w:p>
                  <w:pPr>
                    <w:pStyle w:val="Compact"/>
                  </w:pPr>
                  <w:r>
                    <w:t xml:space="preserve">y columns filled with</w:t>
                  </w:r>
                  <w:r>
                    <w:t xml:space="preserve"> </w:t>
                  </w:r>
                  <w:r>
                    <w:rPr>
                      <w:rStyle w:val="VerbatimChar"/>
                    </w:rPr>
                    <w:t xml:space="preserve">NA</w:t>
                  </w:r>
                </w:p>
              </w:tc>
            </w:tr>
            <w:tr>
              <w:tc>
                <w:tcPr/>
                <w:p>
                  <w:pPr>
                    <w:pStyle w:val="Compact"/>
                  </w:pPr>
                  <w:r>
                    <w:rPr>
                      <w:rStyle w:val="VerbatimChar"/>
                    </w:rPr>
                    <w:t xml:space="preserve">inner_join(x, y)</w:t>
                  </w:r>
                </w:p>
              </w:tc>
              <w:tc>
                <w:tcPr/>
                <w:p>
                  <w:pPr>
                    <w:pStyle w:val="Compact"/>
                  </w:pPr>
                  <w:r>
                    <w:t xml:space="preserve">Only rows in</w:t>
                  </w:r>
                  <w:r>
                    <w:t xml:space="preserve"> </w:t>
                  </w:r>
                  <w:r>
                    <w:rPr>
                      <w:b/>
                      <w:bCs/>
                    </w:rPr>
                    <w:t xml:space="preserve">both</w:t>
                  </w:r>
                </w:p>
              </w:tc>
              <w:tc>
                <w:tcPr/>
                <w:p>
                  <w:pPr>
                    <w:pStyle w:val="Compact"/>
                  </w:pPr>
                  <w:r>
                    <w:t xml:space="preserve">Non-matches dropped silently</w:t>
                  </w:r>
                </w:p>
              </w:tc>
            </w:tr>
            <w:tr>
              <w:tc>
                <w:tcPr/>
                <w:p>
                  <w:pPr>
                    <w:pStyle w:val="Compact"/>
                  </w:pPr>
                  <w:r>
                    <w:rPr>
                      <w:rStyle w:val="VerbatimChar"/>
                    </w:rPr>
                    <w:t xml:space="preserve">full_join(x, y)</w:t>
                  </w:r>
                </w:p>
              </w:tc>
              <w:tc>
                <w:tcPr/>
                <w:p>
                  <w:pPr>
                    <w:pStyle w:val="Compact"/>
                  </w:pPr>
                  <w:r>
                    <w:t xml:space="preserve">All of</w:t>
                  </w:r>
                  <w:r>
                    <w:t xml:space="preserve"> </w:t>
                  </w:r>
                  <w:r>
                    <w:rPr>
                      <w:b/>
                      <w:bCs/>
                    </w:rPr>
                    <w:t xml:space="preserve">both</w:t>
                  </w:r>
                </w:p>
              </w:tc>
              <w:tc>
                <w:tcPr/>
                <w:p>
                  <w:pPr>
                    <w:pStyle w:val="Compact"/>
                  </w:pPr>
                  <w:r>
                    <w:rPr>
                      <w:rStyle w:val="VerbatimChar"/>
                    </w:rPr>
                    <w:t xml:space="preserve">NA</w:t>
                  </w:r>
                  <w:r>
                    <w:t xml:space="preserve"> </w:t>
                  </w:r>
                  <w:r>
                    <w:t xml:space="preserve">filled on both sides</w:t>
                  </w:r>
                </w:p>
              </w:tc>
            </w:tr>
            <w:tr>
              <w:tc>
                <w:tcPr/>
                <w:p>
                  <w:pPr>
                    <w:pStyle w:val="Compact"/>
                  </w:pPr>
                  <w:r>
                    <w:rPr>
                      <w:rStyle w:val="VerbatimChar"/>
                    </w:rPr>
                    <w:t xml:space="preserve">anti_join(x, y)</w:t>
                  </w:r>
                </w:p>
              </w:tc>
              <w:tc>
                <w:tcPr/>
                <w:p>
                  <w:pPr>
                    <w:pStyle w:val="Compact"/>
                  </w:pPr>
                  <w:r>
                    <w:rPr>
                      <w:b/>
                      <w:bCs/>
                    </w:rPr>
                    <w:t xml:space="preserve">x</w:t>
                  </w:r>
                  <w:r>
                    <w:t xml:space="preserve"> </w:t>
                  </w:r>
                  <w:r>
                    <w:t xml:space="preserve">rows with no match in y</w:t>
                  </w:r>
                </w:p>
              </w:tc>
              <w:tc>
                <w:tcPr/>
                <w:p>
                  <w:pPr>
                    <w:pStyle w:val="Compact"/>
                  </w:pPr>
                  <w:r>
                    <w:t xml:space="preserve">Keeps the gaps, not the matches</w:t>
                  </w:r>
                </w:p>
              </w:tc>
            </w:tr>
          </w:tbl>
          <w:p>
            <w:pPr>
              <w:pStyle w:val="BodyText"/>
            </w:pPr>
            <w:pPr>
              <w:spacing w:after="16"/>
            </w:pPr>
            <w:r>
              <w:rPr>
                <w:b/>
                <w:bCs/>
              </w:rPr>
              <w:t xml:space="preserve">Default: use</w:t>
            </w:r>
            <w:r>
              <w:rPr>
                <w:b/>
                <w:bCs/>
              </w:rPr>
              <w:t xml:space="preserve"> </w:t>
            </w:r>
            <w:r>
              <w:rPr>
                <w:rStyle w:val="VerbatimChar"/>
                <w:b/>
                <w:bCs/>
              </w:rPr>
              <w:t xml:space="preserve">left_join()</w:t>
            </w:r>
            <w:r>
              <w:t xml:space="preserve"> </w:t>
            </w:r>
            <w:r>
              <w:t xml:space="preserve">— it keeps your primary data intact and tells</w:t>
            </w:r>
            <w:r>
              <w:t xml:space="preserve"> </w:t>
            </w:r>
            <w:r>
              <w:t xml:space="preserve">you clearly where information is missing via</w:t>
            </w:r>
            <w:r>
              <w:t xml:space="preserve"> </w:t>
            </w:r>
            <w:r>
              <w:rPr>
                <w:rStyle w:val="VerbatimChar"/>
              </w:rPr>
              <w:t xml:space="preserve">NA</w:t>
            </w:r>
            <w:r>
              <w:t xml:space="preserve">.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bookmarkEnd w:id="14"/>
    <w:bookmarkStart w:id="18" w:name="left_join-the-workhorse"/>
    <w:p>
      <w:pPr>
        <w:pStyle w:val="Heading1"/>
      </w:pPr>
      <w:r>
        <w:t xml:space="preserve">2 ·</w:t>
      </w:r>
      <w:r>
        <w:t xml:space="preserve"> </w:t>
      </w:r>
      <w:r>
        <w:rPr>
          <w:rStyle w:val="VerbatimChar"/>
        </w:rPr>
        <w:t xml:space="preserve">left_join()</w:t>
      </w:r>
      <w:r>
        <w:t xml:space="preserve"> </w:t>
      </w:r>
      <w:r>
        <w:t xml:space="preserve">— the workhorse</w:t>
      </w:r>
    </w:p>
    <w:p>
      <w:pPr>
        <w:pStyle w:val="FirstParagraph"/>
      </w:pPr>
      <w:r>
        <w:t xml:space="preserve">Add airline names to flight records. Every flight row is kept; the name</w:t>
      </w:r>
      <w:r>
        <w:t xml:space="preserve"> </w:t>
      </w:r>
      <w:r>
        <w:t xml:space="preserve">comes from the</w:t>
      </w:r>
      <w:r>
        <w:t xml:space="preserve"> </w:t>
      </w:r>
      <w:r>
        <w:rPr>
          <w:rStyle w:val="VerbatimChar"/>
        </w:rPr>
        <w:t xml:space="preserve">airlines</w:t>
      </w:r>
      <w:r>
        <w:t xml:space="preserve"> </w:t>
      </w:r>
      <w:r>
        <w:t xml:space="preserve">table where the carrier code matches.</w:t>
      </w:r>
    </w:p>
    <w:p>
      <w:pPr>
        <w:pStyle w:val="SourceCode"/>
      </w:pPr>
      <w:r>
        <w:rPr>
          <w:rStyle w:val="NormalTok"/>
        </w:rPr>
        <w:t xml:space="preserve">flights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left_join</w:t>
      </w:r>
      <w:r>
        <w:rPr>
          <w:rStyle w:val="NormalTok"/>
        </w:rPr>
        <w:t xml:space="preserve">(airlines, </w:t>
      </w:r>
      <w:r>
        <w:rPr>
          <w:rStyle w:val="AttributeTok"/>
        </w:rPr>
        <w:t xml:space="preserve">by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"carrier"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select</w:t>
      </w:r>
      <w:r>
        <w:rPr>
          <w:rStyle w:val="NormalTok"/>
        </w:rPr>
        <w:t xml:space="preserve">(flight, name, dep_delay, arr_delay)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head</w:t>
      </w:r>
      <w:r>
        <w:rPr>
          <w:rStyle w:val="NormalTok"/>
        </w:rPr>
        <w:t xml:space="preserve">()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6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17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Always name the</w:t>
            </w:r>
            <w:r>
              <w:t xml:space="preserve"> </w:t>
            </w:r>
            <w:r>
              <w:rPr>
                <w:rStyle w:val="VerbatimChar"/>
              </w:rPr>
              <w:t xml:space="preserve">by</w:t>
            </w:r>
            <w:r>
              <w:t xml:space="preserve"> </w:t>
            </w:r>
            <w:r>
              <w:t xml:space="preserve">argument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Writing</w:t>
            </w:r>
            <w:r>
              <w:t xml:space="preserve"> </w:t>
            </w:r>
            <w:r>
              <w:rPr>
                <w:rStyle w:val="VerbatimChar"/>
              </w:rPr>
              <w:t xml:space="preserve">by = "carrier"</w:t>
            </w:r>
            <w:r>
              <w:t xml:space="preserve"> </w:t>
            </w:r>
            <w:r>
              <w:t xml:space="preserve">makes explicit which column is the key. Without it,</w:t>
            </w:r>
            <w:r>
              <w:t xml:space="preserve"> </w:t>
            </w:r>
            <w:r>
              <w:t xml:space="preserve">dplyr joins on all shared column names — which can silently join on the wrong</w:t>
            </w:r>
            <w:r>
              <w:t xml:space="preserve"> </w:t>
            </w:r>
            <w:r>
              <w:t xml:space="preserve">columns if your two tables share a name like</w:t>
            </w:r>
            <w:r>
              <w:t xml:space="preserve"> </w:t>
            </w:r>
            <w:r>
              <w:rPr>
                <w:rStyle w:val="VerbatimChar"/>
              </w:rPr>
              <w:t xml:space="preserve">year</w:t>
            </w:r>
            <w:r>
              <w:t xml:space="preserve"> </w:t>
            </w:r>
            <w:r>
              <w:t xml:space="preserve">or</w:t>
            </w:r>
            <w:r>
              <w:t xml:space="preserve"> </w:t>
            </w:r>
            <w:r>
              <w:rPr>
                <w:rStyle w:val="VerbatimChar"/>
              </w:rPr>
              <w:t xml:space="preserve">id</w:t>
            </w:r>
            <w:r>
              <w:t xml:space="preserve">.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bookmarkEnd w:id="18"/>
    <w:bookmarkStart w:id="22" w:name="inner_join-matched-rows-only"/>
    <w:p>
      <w:pPr>
        <w:pStyle w:val="Heading1"/>
      </w:pPr>
      <w:r>
        <w:t xml:space="preserve">3 ·</w:t>
      </w:r>
      <w:r>
        <w:t xml:space="preserve"> </w:t>
      </w:r>
      <w:r>
        <w:rPr>
          <w:rStyle w:val="VerbatimChar"/>
        </w:rPr>
        <w:t xml:space="preserve">inner_join()</w:t>
      </w:r>
      <w:r>
        <w:t xml:space="preserve"> </w:t>
      </w:r>
      <w:r>
        <w:t xml:space="preserve">— matched rows only</w:t>
      </w:r>
    </w:p>
    <w:p>
      <w:pPr>
        <w:pStyle w:val="FirstParagraph"/>
      </w:pPr>
      <w:r>
        <w:t xml:space="preserve">Join flights to plane specifications. Any flight whose</w:t>
      </w:r>
      <w:r>
        <w:t xml:space="preserve"> </w:t>
      </w:r>
      <w:r>
        <w:rPr>
          <w:rStyle w:val="VerbatimChar"/>
        </w:rPr>
        <w:t xml:space="preserve">tailnum</w:t>
      </w:r>
      <w:r>
        <w:t xml:space="preserve"> </w:t>
      </w:r>
      <w:r>
        <w:t xml:space="preserve">is not in</w:t>
      </w:r>
      <w:r>
        <w:t xml:space="preserve"> </w:t>
      </w:r>
      <w:r>
        <w:t xml:space="preserve">the</w:t>
      </w:r>
      <w:r>
        <w:t xml:space="preserve"> </w:t>
      </w:r>
      <w:r>
        <w:rPr>
          <w:rStyle w:val="VerbatimChar"/>
        </w:rPr>
        <w:t xml:space="preserve">planes</w:t>
      </w:r>
      <w:r>
        <w:t xml:space="preserve"> </w:t>
      </w:r>
      <w:r>
        <w:t xml:space="preserve">table is</w:t>
      </w:r>
      <w:r>
        <w:t xml:space="preserve"> </w:t>
      </w:r>
      <w:r>
        <w:rPr>
          <w:b/>
          <w:bCs/>
        </w:rPr>
        <w:t xml:space="preserve">silently dropped</w:t>
      </w:r>
      <w:r>
        <w:t xml:space="preserve">.</w:t>
      </w:r>
    </w:p>
    <w:p>
      <w:pPr>
        <w:pStyle w:val="SourceCode"/>
      </w:pPr>
      <w:r>
        <w:rPr>
          <w:rStyle w:val="NormalTok"/>
        </w:rPr>
        <w:t xml:space="preserve">flights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inner_join</w:t>
      </w:r>
      <w:r>
        <w:rPr>
          <w:rStyle w:val="NormalTok"/>
        </w:rPr>
        <w:t xml:space="preserve">(planes, </w:t>
      </w:r>
      <w:r>
        <w:rPr>
          <w:rStyle w:val="AttributeTok"/>
        </w:rPr>
        <w:t xml:space="preserve">by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"tailnum"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select</w:t>
      </w:r>
      <w:r>
        <w:rPr>
          <w:rStyle w:val="NormalTok"/>
        </w:rPr>
        <w:t xml:space="preserve">(flight, tailnum, manufacturer, model, dep_delay)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head</w:t>
      </w:r>
      <w:r>
        <w:rPr>
          <w:rStyle w:val="NormalTok"/>
        </w:rPr>
        <w:t xml:space="preserve">()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EB9113"/>
          <w:left w:val="single" w:sz="24" w:space="0" w:color="EB9113"/>
          <w:bottom w:val="single" w:sz="4" w:space="0" w:color="EB9113"/>
          <w:right w:val="single" w:sz="4" w:space="0" w:color="EB9113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cefdc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0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warning.png" id="2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rPr>
                <w:rStyle w:val="VerbatimChar"/>
              </w:rPr>
              <w:t xml:space="preserve">inner_join</w:t>
            </w:r>
            <w:r>
              <w:t xml:space="preserve"> </w:t>
            </w:r>
            <w:r>
              <w:t xml:space="preserve">drops rows silently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If 5 000 flights use tail numbers not in</w:t>
            </w:r>
            <w:r>
              <w:t xml:space="preserve"> </w:t>
            </w:r>
            <w:r>
              <w:rPr>
                <w:rStyle w:val="VerbatimChar"/>
              </w:rPr>
              <w:t xml:space="preserve">planes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inner_join()</w:t>
            </w:r>
            <w:r>
              <w:t xml:space="preserve"> </w:t>
            </w:r>
            <w:r>
              <w:t xml:space="preserve">drops all</w:t>
            </w:r>
            <w:r>
              <w:t xml:space="preserve"> </w:t>
            </w:r>
            <w:r>
              <w:t xml:space="preserve">5 000 without any warning. Always compare</w:t>
            </w:r>
            <w:r>
              <w:t xml:space="preserve"> </w:t>
            </w:r>
            <w:r>
              <w:rPr>
                <w:rStyle w:val="VerbatimChar"/>
              </w:rPr>
              <w:t xml:space="preserve">nrow()</w:t>
            </w:r>
            <w:r>
              <w:t xml:space="preserve"> </w:t>
            </w:r>
            <w:r>
              <w:t xml:space="preserve">before and after an</w:t>
            </w:r>
            <w:r>
              <w:t xml:space="preserve"> </w:t>
            </w:r>
            <w:r>
              <w:rPr>
                <w:rStyle w:val="VerbatimChar"/>
              </w:rPr>
              <w:t xml:space="preserve">inner_join()</w:t>
            </w:r>
            <w:r>
              <w:t xml:space="preserve"> </w:t>
            </w:r>
            <w:r>
              <w:t xml:space="preserve">to see how many rows were lost.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bookmarkEnd w:id="22"/>
    <w:bookmarkStart w:id="23" w:name="full_join-keep-everything"/>
    <w:p>
      <w:pPr>
        <w:pStyle w:val="Heading1"/>
      </w:pPr>
      <w:r>
        <w:t xml:space="preserve">4 ·</w:t>
      </w:r>
      <w:r>
        <w:t xml:space="preserve"> </w:t>
      </w:r>
      <w:r>
        <w:rPr>
          <w:rStyle w:val="VerbatimChar"/>
        </w:rPr>
        <w:t xml:space="preserve">full_join()</w:t>
      </w:r>
      <w:r>
        <w:t xml:space="preserve"> </w:t>
      </w:r>
      <w:r>
        <w:t xml:space="preserve">— keep everything</w:t>
      </w:r>
    </w:p>
    <w:p>
      <w:pPr>
        <w:pStyle w:val="FirstParagraph"/>
      </w:pPr>
      <w:r>
        <w:t xml:space="preserve">Useful when two datasets each have unique rows the other lacks:</w:t>
      </w:r>
    </w:p>
    <w:p>
      <w:pPr>
        <w:pStyle w:val="SourceCode"/>
      </w:pPr>
      <w:r>
        <w:rPr>
          <w:rStyle w:val="NormalTok"/>
        </w:rPr>
        <w:t xml:space="preserve">df_a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tibble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site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"A"</w:t>
      </w:r>
      <w:r>
        <w:rPr>
          <w:rStyle w:val="NormalTok"/>
        </w:rPr>
        <w:t xml:space="preserve">,</w:t>
      </w:r>
      <w:r>
        <w:rPr>
          <w:rStyle w:val="StringTok"/>
        </w:rPr>
        <w:t xml:space="preserve">"B"</w:t>
      </w:r>
      <w:r>
        <w:rPr>
          <w:rStyle w:val="NormalTok"/>
        </w:rPr>
        <w:t xml:space="preserve">,</w:t>
      </w:r>
      <w:r>
        <w:rPr>
          <w:rStyle w:val="StringTok"/>
        </w:rPr>
        <w:t xml:space="preserve">"C"</w:t>
      </w:r>
      <w:r>
        <w:rPr>
          <w:rStyle w:val="NormalTok"/>
        </w:rPr>
        <w:t xml:space="preserve">), </w:t>
      </w:r>
      <w:r>
        <w:rPr>
          <w:rStyle w:val="AttributeTok"/>
        </w:rPr>
        <w:t xml:space="preserve">density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12</w:t>
      </w:r>
      <w:r>
        <w:rPr>
          <w:rStyle w:val="NormalTok"/>
        </w:rPr>
        <w:t xml:space="preserve">,</w:t>
      </w:r>
      <w:r>
        <w:rPr>
          <w:rStyle w:val="DecValTok"/>
        </w:rPr>
        <w:t xml:space="preserve">8</w:t>
      </w:r>
      <w:r>
        <w:rPr>
          <w:rStyle w:val="NormalTok"/>
        </w:rPr>
        <w:t xml:space="preserve">,</w:t>
      </w:r>
      <w:r>
        <w:rPr>
          <w:rStyle w:val="DecValTok"/>
        </w:rPr>
        <w:t xml:space="preserve">15</w:t>
      </w:r>
      <w:r>
        <w:rPr>
          <w:rStyle w:val="NormalTok"/>
        </w:rPr>
        <w:t xml:space="preserve">))</w:t>
      </w:r>
      <w:r>
        <w:br/>
      </w:r>
      <w:r>
        <w:rPr>
          <w:rStyle w:val="NormalTok"/>
        </w:rPr>
        <w:t xml:space="preserve">df_b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tibble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site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"B"</w:t>
      </w:r>
      <w:r>
        <w:rPr>
          <w:rStyle w:val="NormalTok"/>
        </w:rPr>
        <w:t xml:space="preserve">,</w:t>
      </w:r>
      <w:r>
        <w:rPr>
          <w:rStyle w:val="StringTok"/>
        </w:rPr>
        <w:t xml:space="preserve">"C"</w:t>
      </w:r>
      <w:r>
        <w:rPr>
          <w:rStyle w:val="NormalTok"/>
        </w:rPr>
        <w:t xml:space="preserve">,</w:t>
      </w:r>
      <w:r>
        <w:rPr>
          <w:rStyle w:val="StringTok"/>
        </w:rPr>
        <w:t xml:space="preserve">"D"</w:t>
      </w:r>
      <w:r>
        <w:rPr>
          <w:rStyle w:val="NormalTok"/>
        </w:rPr>
        <w:t xml:space="preserve">), </w:t>
      </w:r>
      <w:r>
        <w:rPr>
          <w:rStyle w:val="AttributeTok"/>
        </w:rPr>
        <w:t xml:space="preserve">temp_c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14</w:t>
      </w:r>
      <w:r>
        <w:rPr>
          <w:rStyle w:val="NormalTok"/>
        </w:rPr>
        <w:t xml:space="preserve">,</w:t>
      </w:r>
      <w:r>
        <w:rPr>
          <w:rStyle w:val="DecValTok"/>
        </w:rPr>
        <w:t xml:space="preserve">12</w:t>
      </w:r>
      <w:r>
        <w:rPr>
          <w:rStyle w:val="NormalTok"/>
        </w:rPr>
        <w:t xml:space="preserve">,</w:t>
      </w:r>
      <w:r>
        <w:rPr>
          <w:rStyle w:val="DecValTok"/>
        </w:rPr>
        <w:t xml:space="preserve">18</w:t>
      </w:r>
      <w:r>
        <w:rPr>
          <w:rStyle w:val="NormalTok"/>
        </w:rPr>
        <w:t xml:space="preserve">))</w:t>
      </w:r>
      <w:r>
        <w:br/>
      </w:r>
      <w:r>
        <w:br/>
      </w:r>
      <w:r>
        <w:rPr>
          <w:rStyle w:val="FunctionTok"/>
        </w:rPr>
        <w:t xml:space="preserve">full_join</w:t>
      </w:r>
      <w:r>
        <w:rPr>
          <w:rStyle w:val="NormalTok"/>
        </w:rPr>
        <w:t xml:space="preserve">(df_a, df_b, </w:t>
      </w:r>
      <w:r>
        <w:rPr>
          <w:rStyle w:val="AttributeTok"/>
        </w:rPr>
        <w:t xml:space="preserve">by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"site"</w:t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Site A has no temperature (NA in</w:t>
      </w:r>
      <w:r>
        <w:t xml:space="preserve"> </w:t>
      </w:r>
      <w:r>
        <w:rPr>
          <w:rStyle w:val="VerbatimChar"/>
        </w:rPr>
        <w:t xml:space="preserve">temp_c</w:t>
      </w:r>
      <w:r>
        <w:t xml:space="preserve">); site D has no density (NA in</w:t>
      </w:r>
      <w:r>
        <w:t xml:space="preserve"> </w:t>
      </w:r>
      <w:r>
        <w:rPr>
          <w:rStyle w:val="VerbatimChar"/>
        </w:rPr>
        <w:t xml:space="preserve">density</w:t>
      </w:r>
      <w:r>
        <w:t xml:space="preserve">). The full join makes all gaps visible.</w:t>
      </w:r>
    </w:p>
    <w:p>
      <w:r>
        <w:pict>
          <v:rect style="width:0;height:1.5pt" o:hralign="center" o:hrstd="t" o:hr="t"/>
        </w:pict>
      </w:r>
    </w:p>
    <w:bookmarkEnd w:id="23"/>
    <w:bookmarkStart w:id="26" w:name="anti_join-find-the-gaps"/>
    <w:p>
      <w:pPr>
        <w:pStyle w:val="Heading1"/>
      </w:pPr>
      <w:r>
        <w:t xml:space="preserve">5 ·</w:t>
      </w:r>
      <w:r>
        <w:t xml:space="preserve"> </w:t>
      </w:r>
      <w:r>
        <w:rPr>
          <w:rStyle w:val="VerbatimChar"/>
        </w:rPr>
        <w:t xml:space="preserve">anti_join()</w:t>
      </w:r>
      <w:r>
        <w:t xml:space="preserve"> </w:t>
      </w:r>
      <w:r>
        <w:t xml:space="preserve">— find the gaps</w:t>
      </w:r>
    </w:p>
    <w:p>
      <w:pPr>
        <w:pStyle w:val="FirstParagraph"/>
      </w:pPr>
      <w:r>
        <w:t xml:space="preserve">Which flights have a tail number that is</w:t>
      </w:r>
      <w:r>
        <w:t xml:space="preserve"> </w:t>
      </w:r>
      <w:r>
        <w:rPr>
          <w:i/>
          <w:iCs/>
        </w:rPr>
        <w:t xml:space="preserve">not</w:t>
      </w:r>
      <w:r>
        <w:t xml:space="preserve"> </w:t>
      </w:r>
      <w:r>
        <w:t xml:space="preserve">in the planes registry?</w:t>
      </w:r>
    </w:p>
    <w:p>
      <w:pPr>
        <w:pStyle w:val="SourceCode"/>
      </w:pPr>
      <w:r>
        <w:rPr>
          <w:rStyle w:val="NormalTok"/>
        </w:rPr>
        <w:t xml:space="preserve">flights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anti_join</w:t>
      </w:r>
      <w:r>
        <w:rPr>
          <w:rStyle w:val="NormalTok"/>
        </w:rPr>
        <w:t xml:space="preserve">(planes, </w:t>
      </w:r>
      <w:r>
        <w:rPr>
          <w:rStyle w:val="AttributeTok"/>
        </w:rPr>
        <w:t xml:space="preserve">by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"tailnum"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count</w:t>
      </w:r>
      <w:r>
        <w:rPr>
          <w:rStyle w:val="NormalTok"/>
        </w:rPr>
        <w:t xml:space="preserve">(tailnum, </w:t>
      </w:r>
      <w:r>
        <w:rPr>
          <w:rStyle w:val="AttributeTok"/>
        </w:rPr>
        <w:t xml:space="preserve">sort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4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2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rPr>
                <w:rStyle w:val="VerbatimChar"/>
              </w:rPr>
              <w:t xml:space="preserve">anti_join</w:t>
            </w:r>
            <w:r>
              <w:t xml:space="preserve"> </w:t>
            </w:r>
            <w:r>
              <w:t xml:space="preserve">is great for data quality checks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“Which sites in my fish data have no matching entry in my site metadata?”</w:t>
            </w:r>
            <w:r>
              <w:t xml:space="preserve"> </w:t>
            </w:r>
            <w:r>
              <w:t xml:space="preserve">is exactly an</w:t>
            </w:r>
            <w:r>
              <w:t xml:space="preserve"> </w:t>
            </w:r>
            <w:r>
              <w:rPr>
                <w:rStyle w:val="VerbatimChar"/>
              </w:rPr>
              <w:t xml:space="preserve">anti_join()</w:t>
            </w:r>
            <w:r>
              <w:t xml:space="preserve"> </w:t>
            </w:r>
            <w:r>
              <w:t xml:space="preserve">question. Run it before any analysis to find missing rows early.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bookmarkEnd w:id="26"/>
    <w:bookmarkStart w:id="27" w:name="joining-on-differently-named-columns"/>
    <w:p>
      <w:pPr>
        <w:pStyle w:val="Heading1"/>
      </w:pPr>
      <w:r>
        <w:t xml:space="preserve">6 · Joining on differently named columns</w:t>
      </w:r>
    </w:p>
    <w:p>
      <w:pPr>
        <w:pStyle w:val="FirstParagraph"/>
      </w:pPr>
      <w:r>
        <w:t xml:space="preserve">When the key column has different names in the two tables, use</w:t>
      </w:r>
      <w:r>
        <w:t xml:space="preserve"> </w:t>
      </w:r>
      <w:r>
        <w:rPr>
          <w:rStyle w:val="VerbatimChar"/>
        </w:rPr>
        <w:t xml:space="preserve">by = c("left_name" = "right_name")</w:t>
      </w:r>
      <w:r>
        <w:t xml:space="preserve">:</w:t>
      </w:r>
    </w:p>
    <w:p>
      <w:pPr>
        <w:pStyle w:val="SourceCode"/>
      </w:pPr>
      <w:r>
        <w:rPr>
          <w:rStyle w:val="CommentTok"/>
        </w:rPr>
        <w:t xml:space="preserve"># airports uses "faa"; flights uses "dest"</w:t>
      </w:r>
      <w:r>
        <w:br/>
      </w:r>
      <w:r>
        <w:rPr>
          <w:rStyle w:val="NormalTok"/>
        </w:rPr>
        <w:t xml:space="preserve">flights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left_join</w:t>
      </w:r>
      <w:r>
        <w:rPr>
          <w:rStyle w:val="NormalTok"/>
        </w:rPr>
        <w:t xml:space="preserve">(airports, </w:t>
      </w:r>
      <w:r>
        <w:rPr>
          <w:rStyle w:val="AttributeTok"/>
        </w:rPr>
        <w:t xml:space="preserve">by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"dest"</w:t>
      </w:r>
      <w:r>
        <w:rPr>
          <w:rStyle w:val="NormalTok"/>
        </w:rPr>
        <w:t xml:space="preserve">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"faa"</w:t>
      </w:r>
      <w:r>
        <w:rPr>
          <w:rStyle w:val="NormalTok"/>
        </w:rPr>
        <w:t xml:space="preserve">))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select</w:t>
      </w:r>
      <w:r>
        <w:rPr>
          <w:rStyle w:val="NormalTok"/>
        </w:rPr>
        <w:t xml:space="preserve">(flight, dest, name, lat, lon)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head</w:t>
      </w:r>
      <w:r>
        <w:rPr>
          <w:rStyle w:val="NormalTok"/>
        </w:rPr>
        <w:t xml:space="preserve">()</w:t>
      </w:r>
    </w:p>
    <w:p>
      <w:r>
        <w:pict>
          <v:rect style="width:0;height:1.5pt" o:hralign="center" o:hrstd="t" o:hr="t"/>
        </w:pict>
      </w:r>
    </w:p>
    <w:bookmarkEnd w:id="27"/>
    <w:bookmarkStart w:id="28" w:name="joining-on-multiple-columns"/>
    <w:p>
      <w:pPr>
        <w:pStyle w:val="Heading1"/>
      </w:pPr>
      <w:r>
        <w:t xml:space="preserve">7 · Joining on multiple columns</w:t>
      </w:r>
    </w:p>
    <w:p>
      <w:pPr>
        <w:pStyle w:val="FirstParagraph"/>
      </w:pPr>
      <w:r>
        <w:rPr>
          <w:rStyle w:val="VerbatimChar"/>
        </w:rPr>
        <w:t xml:space="preserve">weather</w:t>
      </w:r>
      <w:r>
        <w:t xml:space="preserve"> </w:t>
      </w:r>
      <w:r>
        <w:t xml:space="preserve">is identified by five columns: year, month, day, hour, and origin.</w:t>
      </w:r>
      <w:r>
        <w:t xml:space="preserve"> </w:t>
      </w:r>
      <w:r>
        <w:t xml:space="preserve">List all of them in</w:t>
      </w:r>
      <w:r>
        <w:t xml:space="preserve"> </w:t>
      </w:r>
      <w:r>
        <w:rPr>
          <w:rStyle w:val="VerbatimChar"/>
        </w:rPr>
        <w:t xml:space="preserve">by</w:t>
      </w:r>
      <w:r>
        <w:t xml:space="preserve">:</w:t>
      </w:r>
    </w:p>
    <w:p>
      <w:pPr>
        <w:pStyle w:val="SourceCode"/>
      </w:pPr>
      <w:r>
        <w:rPr>
          <w:rStyle w:val="NormalTok"/>
        </w:rPr>
        <w:t xml:space="preserve">flights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left_join</w:t>
      </w:r>
      <w:r>
        <w:rPr>
          <w:rStyle w:val="NormalTok"/>
        </w:rPr>
        <w:t xml:space="preserve">(weather,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by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"year"</w:t>
      </w:r>
      <w:r>
        <w:rPr>
          <w:rStyle w:val="NormalTok"/>
        </w:rPr>
        <w:t xml:space="preserve">,</w:t>
      </w:r>
      <w:r>
        <w:rPr>
          <w:rStyle w:val="StringTok"/>
        </w:rPr>
        <w:t xml:space="preserve">"month"</w:t>
      </w:r>
      <w:r>
        <w:rPr>
          <w:rStyle w:val="NormalTok"/>
        </w:rPr>
        <w:t xml:space="preserve">,</w:t>
      </w:r>
      <w:r>
        <w:rPr>
          <w:rStyle w:val="StringTok"/>
        </w:rPr>
        <w:t xml:space="preserve">"day"</w:t>
      </w:r>
      <w:r>
        <w:rPr>
          <w:rStyle w:val="NormalTok"/>
        </w:rPr>
        <w:t xml:space="preserve">,</w:t>
      </w:r>
      <w:r>
        <w:rPr>
          <w:rStyle w:val="StringTok"/>
        </w:rPr>
        <w:t xml:space="preserve">"hour"</w:t>
      </w:r>
      <w:r>
        <w:rPr>
          <w:rStyle w:val="NormalTok"/>
        </w:rPr>
        <w:t xml:space="preserve">,</w:t>
      </w:r>
      <w:r>
        <w:rPr>
          <w:rStyle w:val="StringTok"/>
        </w:rPr>
        <w:t xml:space="preserve">"origin"</w:t>
      </w:r>
      <w:r>
        <w:rPr>
          <w:rStyle w:val="NormalTok"/>
        </w:rPr>
        <w:t xml:space="preserve">))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select</w:t>
      </w:r>
      <w:r>
        <w:rPr>
          <w:rStyle w:val="NormalTok"/>
        </w:rPr>
        <w:t xml:space="preserve">(flight, dep_delay, temp, wind_speed, precip)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head</w:t>
      </w:r>
      <w:r>
        <w:rPr>
          <w:rStyle w:val="NormalTok"/>
        </w:rPr>
        <w:t xml:space="preserve">()</w:t>
      </w:r>
    </w:p>
    <w:p>
      <w:r>
        <w:pict>
          <v:rect style="width:0;height:1.5pt" o:hralign="center" o:hrstd="t" o:hr="t"/>
        </w:pict>
      </w:r>
    </w:p>
    <w:bookmarkEnd w:id="28"/>
    <w:bookmarkStart w:id="31" w:name="the-duplicate-key-problem"/>
    <w:p>
      <w:pPr>
        <w:pStyle w:val="Heading1"/>
      </w:pPr>
      <w:r>
        <w:t xml:space="preserve">8 · The duplicate key problem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EB9113"/>
          <w:left w:val="single" w:sz="24" w:space="0" w:color="EB9113"/>
          <w:bottom w:val="single" w:sz="4" w:space="0" w:color="EB9113"/>
          <w:right w:val="single" w:sz="4" w:space="0" w:color="EB9113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cefdc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9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warning.png" id="30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Duplicate keys cause row explosions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t xml:space="preserve">If the</w:t>
            </w:r>
            <w:r>
              <w:t xml:space="preserve"> </w:t>
            </w:r>
            <w:r>
              <w:rPr>
                <w:b/>
                <w:bCs/>
              </w:rPr>
              <w:t xml:space="preserve">right-hand</w:t>
            </w:r>
            <w:r>
              <w:t xml:space="preserve"> </w:t>
            </w:r>
            <w:r>
              <w:t xml:space="preserve">table has duplicate key values, every matching row in</w:t>
            </w:r>
            <w:r>
              <w:t xml:space="preserve"> </w:t>
            </w:r>
            <w:r>
              <w:t xml:space="preserve">the left table gets multiplied — one output row per match.</w:t>
            </w:r>
          </w:p>
          <w:p>
            <w:pPr>
              <w:pStyle w:val="SourceCode"/>
            </w:pPr>
            <w:r>
              <w:rPr>
                <w:rStyle w:val="CommentTok"/>
              </w:rPr>
              <w:t xml:space="preserve"># Safe — check for duplicates before joining</w:t>
            </w:r>
            <w:r>
              <w:br/>
            </w:r>
            <w:r>
              <w:rPr>
                <w:rStyle w:val="NormalTok"/>
              </w:rPr>
              <w:t xml:space="preserve">airlines </w:t>
            </w:r>
            <w:r>
              <w:rPr>
                <w:rStyle w:val="SpecialCharTok"/>
              </w:rPr>
              <w:t xml:space="preserve">|&gt;</w:t>
            </w:r>
            <w:r>
              <w:rPr>
                <w:rStyle w:val="NormalTok"/>
              </w:rPr>
              <w:t xml:space="preserve"> </w:t>
            </w:r>
            <w:r>
              <w:rPr>
                <w:rStyle w:val="FunctionTok"/>
              </w:rPr>
              <w:t xml:space="preserve">count</w:t>
            </w:r>
            <w:r>
              <w:rPr>
                <w:rStyle w:val="NormalTok"/>
              </w:rPr>
              <w:t xml:space="preserve">(carrier) </w:t>
            </w:r>
            <w:r>
              <w:rPr>
                <w:rStyle w:val="SpecialCharTok"/>
              </w:rPr>
              <w:t xml:space="preserve">|&gt;</w:t>
            </w:r>
            <w:r>
              <w:rPr>
                <w:rStyle w:val="NormalTok"/>
              </w:rPr>
              <w:t xml:space="preserve"> </w:t>
            </w:r>
            <w:r>
              <w:rPr>
                <w:rStyle w:val="FunctionTok"/>
              </w:rPr>
              <w:t xml:space="preserve">filter</w:t>
            </w:r>
            <w:r>
              <w:rPr>
                <w:rStyle w:val="NormalTok"/>
              </w:rPr>
              <w:t xml:space="preserve">(n </w:t>
            </w:r>
            <w:r>
              <w:rPr>
                <w:rStyle w:val="SpecialCharTok"/>
              </w:rPr>
              <w:t xml:space="preserve">&gt;</w:t>
            </w:r>
            <w:r>
              <w:rPr>
                <w:rStyle w:val="NormalTok"/>
              </w:rPr>
              <w:t xml:space="preserve"> </w:t>
            </w:r>
            <w:r>
              <w:rPr>
                <w:rStyle w:val="DecValTok"/>
              </w:rPr>
              <w:t xml:space="preserve">1</w:t>
            </w:r>
            <w:r>
              <w:rPr>
                <w:rStyle w:val="NormalTok"/>
              </w:rPr>
              <w:t xml:space="preserve">)   </w:t>
            </w:r>
            <w:r>
              <w:rPr>
                <w:rStyle w:val="CommentTok"/>
              </w:rPr>
              <w:t xml:space="preserve"># should be 0</w:t>
            </w:r>
            <w:r>
              <w:br/>
            </w:r>
            <w:r>
              <w:br/>
            </w:r>
            <w:r>
              <w:rPr>
                <w:rStyle w:val="CommentTok"/>
              </w:rPr>
              <w:t xml:space="preserve"># If duplicates exist, decide what to do:</w:t>
            </w:r>
            <w:r>
              <w:br/>
            </w:r>
            <w:r>
              <w:rPr>
                <w:rStyle w:val="CommentTok"/>
              </w:rPr>
              <w:t xml:space="preserve">#   distinct()       — keep one row per key</w:t>
            </w:r>
            <w:r>
              <w:br/>
            </w:r>
            <w:r>
              <w:rPr>
                <w:rStyle w:val="CommentTok"/>
              </w:rPr>
              <w:t xml:space="preserve">#   group_by() |&gt; summarise()  — aggregate first, then join</w:t>
            </w:r>
          </w:p>
          <w:p>
            <w:pPr>
              <w:pStyle w:val="FirstParagraph"/>
            </w:pPr>
            <w:pPr>
              <w:spacing w:after="16"/>
            </w:pPr>
            <w:r>
              <w:rPr>
                <w:b/>
                <w:bCs/>
              </w:rPr>
              <w:t xml:space="preserve">Always check for duplicates before joining.</w:t>
            </w:r>
            <w:r>
              <w:t xml:space="preserve"> </w:t>
            </w:r>
            <w:r>
              <w:t xml:space="preserve">A silent row explosion is one</w:t>
            </w:r>
            <w:r>
              <w:t xml:space="preserve"> </w:t>
            </w:r>
            <w:r>
              <w:t xml:space="preserve">of the hardest bugs to catch after the fact.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bookmarkEnd w:id="31"/>
    <w:bookmarkStart w:id="32" w:name="X06de4fc9d44532dc2ddf003137c9fd551b2d32e"/>
    <w:p>
      <w:pPr>
        <w:pStyle w:val="Heading1"/>
      </w:pPr>
      <w:r>
        <w:t xml:space="preserve">9 · Ecological example — fish data + site metadata</w:t>
      </w:r>
    </w:p>
    <w:p>
      <w:pPr>
        <w:pStyle w:val="SourceCode"/>
      </w:pPr>
      <w:r>
        <w:rPr>
          <w:rStyle w:val="NormalTok"/>
        </w:rPr>
        <w:t xml:space="preserve">fish_counts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tibble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site_id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"S01"</w:t>
      </w:r>
      <w:r>
        <w:rPr>
          <w:rStyle w:val="NormalTok"/>
        </w:rPr>
        <w:t xml:space="preserve">,</w:t>
      </w:r>
      <w:r>
        <w:rPr>
          <w:rStyle w:val="StringTok"/>
        </w:rPr>
        <w:t xml:space="preserve">"S01"</w:t>
      </w:r>
      <w:r>
        <w:rPr>
          <w:rStyle w:val="NormalTok"/>
        </w:rPr>
        <w:t xml:space="preserve">,</w:t>
      </w:r>
      <w:r>
        <w:rPr>
          <w:rStyle w:val="StringTok"/>
        </w:rPr>
        <w:t xml:space="preserve">"S02"</w:t>
      </w:r>
      <w:r>
        <w:rPr>
          <w:rStyle w:val="NormalTok"/>
        </w:rPr>
        <w:t xml:space="preserve">,</w:t>
      </w:r>
      <w:r>
        <w:rPr>
          <w:rStyle w:val="StringTok"/>
        </w:rPr>
        <w:t xml:space="preserve">"S03"</w:t>
      </w:r>
      <w:r>
        <w:rPr>
          <w:rStyle w:val="NormalTok"/>
        </w:rPr>
        <w:t xml:space="preserve">,</w:t>
      </w:r>
      <w:r>
        <w:rPr>
          <w:rStyle w:val="StringTok"/>
        </w:rPr>
        <w:t xml:space="preserve">"S03"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species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"brook_trout"</w:t>
      </w:r>
      <w:r>
        <w:rPr>
          <w:rStyle w:val="NormalTok"/>
        </w:rPr>
        <w:t xml:space="preserve">,</w:t>
      </w:r>
      <w:r>
        <w:rPr>
          <w:rStyle w:val="StringTok"/>
        </w:rPr>
        <w:t xml:space="preserve">"sculpin"</w:t>
      </w:r>
      <w:r>
        <w:rPr>
          <w:rStyle w:val="NormalTok"/>
        </w:rPr>
        <w:t xml:space="preserve">,</w:t>
      </w:r>
      <w:r>
        <w:rPr>
          <w:rStyle w:val="StringTok"/>
        </w:rPr>
        <w:t xml:space="preserve">"brook_trout"</w:t>
      </w:r>
      <w:r>
        <w:rPr>
          <w:rStyle w:val="NormalTok"/>
        </w:rPr>
        <w:t xml:space="preserve">,</w:t>
      </w:r>
      <w:r>
        <w:rPr>
          <w:rStyle w:val="StringTok"/>
        </w:rPr>
        <w:t xml:space="preserve">"sculpin"</w:t>
      </w:r>
      <w:r>
        <w:rPr>
          <w:rStyle w:val="NormalTok"/>
        </w:rPr>
        <w:t xml:space="preserve">,</w:t>
      </w:r>
      <w:r>
        <w:rPr>
          <w:rStyle w:val="StringTok"/>
        </w:rPr>
        <w:t xml:space="preserve">"brook_trout"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count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24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8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15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11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NormalTok"/>
        </w:rPr>
        <w:t xml:space="preserve">site_meta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tibble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site_id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"S01"</w:t>
      </w:r>
      <w:r>
        <w:rPr>
          <w:rStyle w:val="NormalTok"/>
        </w:rPr>
        <w:t xml:space="preserve">,</w:t>
      </w:r>
      <w:r>
        <w:rPr>
          <w:rStyle w:val="StringTok"/>
        </w:rPr>
        <w:t xml:space="preserve">"S02"</w:t>
      </w:r>
      <w:r>
        <w:rPr>
          <w:rStyle w:val="NormalTok"/>
        </w:rPr>
        <w:t xml:space="preserve">,</w:t>
      </w:r>
      <w:r>
        <w:rPr>
          <w:rStyle w:val="StringTok"/>
        </w:rPr>
        <w:t xml:space="preserve">"S03"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stream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"Knife River"</w:t>
      </w:r>
      <w:r>
        <w:rPr>
          <w:rStyle w:val="NormalTok"/>
        </w:rPr>
        <w:t xml:space="preserve">,</w:t>
      </w:r>
      <w:r>
        <w:rPr>
          <w:rStyle w:val="StringTok"/>
        </w:rPr>
        <w:t xml:space="preserve">"Baptism River"</w:t>
      </w:r>
      <w:r>
        <w:rPr>
          <w:rStyle w:val="NormalTok"/>
        </w:rPr>
        <w:t xml:space="preserve">,</w:t>
      </w:r>
      <w:r>
        <w:rPr>
          <w:rStyle w:val="StringTok"/>
        </w:rPr>
        <w:t xml:space="preserve">"Brule River"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area_m2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45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30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60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CommentTok"/>
        </w:rPr>
        <w:t xml:space="preserve"># Merge and calculate density</w:t>
      </w:r>
      <w:r>
        <w:br/>
      </w:r>
      <w:r>
        <w:rPr>
          <w:rStyle w:val="NormalTok"/>
        </w:rPr>
        <w:t xml:space="preserve">fish_counts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left_join</w:t>
      </w:r>
      <w:r>
        <w:rPr>
          <w:rStyle w:val="NormalTok"/>
        </w:rPr>
        <w:t xml:space="preserve">(site_meta, </w:t>
      </w:r>
      <w:r>
        <w:rPr>
          <w:rStyle w:val="AttributeTok"/>
        </w:rPr>
        <w:t xml:space="preserve">by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"site_id"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density =</w:t>
      </w:r>
      <w:r>
        <w:rPr>
          <w:rStyle w:val="NormalTok"/>
        </w:rPr>
        <w:t xml:space="preserve"> count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area_m2)</w:t>
      </w:r>
    </w:p>
    <w:p>
      <w:r>
        <w:pict>
          <v:rect style="width:0;height:1.5pt" o:hralign="center" o:hrstd="t" o:hr="t"/>
        </w:pict>
      </w:r>
    </w:p>
    <w:bookmarkEnd w:id="32"/>
    <w:bookmarkStart w:id="33" w:name="quick-reference"/>
    <w:p>
      <w:pPr>
        <w:pStyle w:val="Heading1"/>
      </w:pPr>
      <w:r>
        <w:t xml:space="preserve">Quick reference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Task</w:t>
            </w:r>
          </w:p>
        </w:tc>
        <w:tc>
          <w:tcPr/>
          <w:p>
            <w:pPr>
              <w:pStyle w:val="Compact"/>
            </w:pPr>
            <w:r>
              <w:t xml:space="preserve">Code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Add columns from y, keep all x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left_join(x, y, by = "key")</w:t>
            </w:r>
          </w:p>
        </w:tc>
      </w:tr>
      <w:tr>
        <w:tc>
          <w:tcPr/>
          <w:p>
            <w:pPr>
              <w:pStyle w:val="Compact"/>
            </w:pPr>
            <w:r>
              <w:t xml:space="preserve">Keep only matched rows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inner_join(x, y, by = "key")</w:t>
            </w:r>
          </w:p>
        </w:tc>
      </w:tr>
      <w:tr>
        <w:tc>
          <w:tcPr/>
          <w:p>
            <w:pPr>
              <w:pStyle w:val="Compact"/>
            </w:pPr>
            <w:r>
              <w:t xml:space="preserve">Keep all rows from both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full_join(x, y, by = "key")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Find rows in x with no match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anti_join(x, y, by = "key")</w:t>
            </w:r>
          </w:p>
        </w:tc>
      </w:tr>
      <w:tr>
        <w:tc>
          <w:tcPr/>
          <w:p>
            <w:pPr>
              <w:pStyle w:val="Compact"/>
            </w:pPr>
            <w:r>
              <w:t xml:space="preserve">Different key names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by = c("left_col" = "right_col")</w:t>
            </w:r>
          </w:p>
        </w:tc>
      </w:tr>
      <w:tr>
        <w:tc>
          <w:tcPr/>
          <w:p>
            <w:pPr>
              <w:pStyle w:val="Compact"/>
            </w:pPr>
            <w:r>
              <w:t xml:space="preserve">Join on multiple columns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by = c("year","month","day")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Check for duplicate keys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df |&gt; count(key_col) |&gt; filter(n &gt; 1)</w:t>
            </w:r>
          </w:p>
        </w:tc>
      </w:tr>
    </w:tbl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/>
          <w:iCs/>
        </w:rPr>
        <w:t xml:space="preserve">End of Common Code 13 — Joining Data Frames.</w:t>
      </w:r>
      <w:r>
        <w:t xml:space="preserve"> </w:t>
      </w:r>
      <w:r>
        <w:rPr>
          <w:i/>
          <w:iCs/>
        </w:rPr>
        <w:t xml:space="preserve">Next: Common Code 14 — Dates with lubridate.</w:t>
      </w:r>
    </w:p>
    <w:bookmarkEnd w:id="33"/>
    <w:sectPr w:rsidR="00BC5723" w:rsidRPr="00846576">
      <w:pgSz w:h="15840" w:w="12240"/>
      <w:pgMar w:bottom="1440" w:footer="720" w:gutter="0" w:header="720" w:left="1440" w:right="144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40"/>
  <w:embedSystemFonts/>
  <w:proofState w:grammar="clean" w:spelling="clean"/>
  <w:stylePaneFormatFilter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al="1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CF1"/>
    <w:rsid w:val="001D4BF4"/>
    <w:rsid w:val="00322D32"/>
    <w:rsid w:val="003A43E8"/>
    <w:rsid w:val="005316D4"/>
    <w:rsid w:val="00636BA6"/>
    <w:rsid w:val="00771E03"/>
    <w:rsid w:val="007D1245"/>
    <w:rsid w:val="00846576"/>
    <w:rsid w:val="008E7AF3"/>
    <w:rsid w:val="009F6993"/>
    <w:rsid w:val="00AF5CF1"/>
    <w:rsid w:val="00BC28E9"/>
    <w:rsid w:val="00BC5723"/>
    <w:rsid w:val="00BE2C86"/>
    <w:rsid w:val="00D216D4"/>
    <w:rsid w:val="00D50509"/>
    <w:rsid w:val="00D9646C"/>
    <w:rsid w:val="00DF1EEE"/>
    <w:rsid w:val="00F85349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cs="Calibri" w:eastAsia="Calibri" w:hAnsi="Calibri"/>
        <w:kern w:val="2"/>
        <w:sz w:val="24"/>
        <w:szCs w:val="24"/>
        <w:lang w:bidi="ar-SA" w:eastAsia="en-US" w:val="en-US"/>
        <w14:ligatures w14:val="standardContextual"/>
      </w:rPr>
    </w:rPrDefault>
    <w:pPrDefault/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846576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b/>
      <w:color w:val="002147"/>
      <w:sz w:val="28"/>
      <w:szCs w:val="40"/>
    </w:rPr>
  </w:style>
  <w:style w:styleId="Heading2" w:type="paragraph">
    <w:name w:val="heading 2"/>
    <w:basedOn w:val="Normal"/>
    <w:next w:val="Normal"/>
    <w:link w:val="Heading2Char"/>
    <w:uiPriority w:val="9"/>
    <w:semiHidden/>
    <w:unhideWhenUsed/>
    <w:qFormat/>
    <w:rsid w:val="00846576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val="002147"/>
      <w:szCs w:val="32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846576"/>
    <w:pPr>
      <w:keepNext/>
      <w:keepLines/>
      <w:spacing w:after="80" w:before="160"/>
      <w:outlineLvl w:val="2"/>
    </w:pPr>
    <w:rPr>
      <w:rFonts w:asciiTheme="minorHAnsi" w:cstheme="majorBidi" w:eastAsiaTheme="majorEastAsia" w:hAnsiTheme="minorHAnsi"/>
      <w:color w:val="002147"/>
      <w:sz w:val="22"/>
      <w:szCs w:val="28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846576"/>
    <w:pPr>
      <w:keepNext/>
      <w:keepLines/>
      <w:spacing w:after="40" w:before="80"/>
      <w:outlineLvl w:val="3"/>
    </w:pPr>
    <w:rPr>
      <w:rFonts w:asciiTheme="minorHAnsi" w:cstheme="majorBidi" w:eastAsiaTheme="majorEastAsia" w:hAnsiTheme="minorHAnsi"/>
      <w:iCs/>
      <w:color w:val="002147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AF5CF1"/>
    <w:pPr>
      <w:keepNext/>
      <w:keepLines/>
      <w:spacing w:after="40" w:before="80"/>
      <w:outlineLvl w:val="4"/>
    </w:pPr>
    <w:rPr>
      <w:rFonts w:asciiTheme="minorHAnsi" w:cstheme="majorBidi" w:eastAsiaTheme="majorEastAsia" w:hAnsiTheme="minorHAnsi"/>
      <w:color w:val="002147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846576"/>
    <w:pPr>
      <w:keepNext/>
      <w:keepLines/>
      <w:spacing w:before="40"/>
      <w:outlineLvl w:val="5"/>
    </w:pPr>
    <w:rPr>
      <w:rFonts w:asciiTheme="minorHAnsi" w:cstheme="majorBidi" w:eastAsiaTheme="majorEastAsia" w:hAnsiTheme="minorHAnsi"/>
      <w:iCs/>
      <w:color w:themeColor="text1" w:themeTint="A6" w:val="595959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AF5CF1"/>
    <w:pPr>
      <w:keepNext/>
      <w:keepLines/>
      <w:spacing w:before="40"/>
      <w:outlineLvl w:val="6"/>
    </w:pPr>
    <w:rPr>
      <w:rFonts w:asciiTheme="minorHAnsi" w:cstheme="majorBidi" w:eastAsiaTheme="majorEastAsia" w:hAnsiTheme="minorHAnsi"/>
      <w:color w:themeColor="text1" w:themeTint="A6" w:val="595959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846576"/>
    <w:pPr>
      <w:keepNext/>
      <w:keepLines/>
      <w:outlineLvl w:val="7"/>
    </w:pPr>
    <w:rPr>
      <w:rFonts w:asciiTheme="minorHAnsi" w:cstheme="majorBidi" w:eastAsiaTheme="majorEastAsia" w:hAnsiTheme="minorHAnsi"/>
      <w:iCs/>
      <w:color w:themeColor="text1" w:themeTint="D8" w:val="272727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846576"/>
    <w:pPr>
      <w:keepNext/>
      <w:keepLines/>
      <w:outlineLvl w:val="8"/>
    </w:pPr>
    <w:rPr>
      <w:rFonts w:asciiTheme="minorHAnsi" w:cstheme="majorBidi" w:eastAsiaTheme="majorEastAsia" w:hAnsiTheme="minorHAnsi"/>
      <w:color w:themeColor="text1" w:themeTint="D8" w:val="272727"/>
      <w:sz w:val="2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846576"/>
    <w:rPr>
      <w:rFonts w:asciiTheme="majorHAnsi" w:cstheme="majorBidi" w:eastAsiaTheme="majorEastAsia" w:hAnsiTheme="majorHAnsi"/>
      <w:b/>
      <w:color w:val="002147"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846576"/>
    <w:rPr>
      <w:rFonts w:asciiTheme="majorHAnsi" w:cstheme="majorBidi" w:eastAsiaTheme="majorEastAsia" w:hAnsiTheme="majorHAnsi"/>
      <w:color w:val="002147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rsid w:val="00846576"/>
    <w:rPr>
      <w:rFonts w:asciiTheme="minorHAnsi" w:cstheme="majorBidi" w:eastAsiaTheme="majorEastAsia" w:hAnsiTheme="minorHAnsi"/>
      <w:color w:val="002147"/>
      <w:sz w:val="22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846576"/>
    <w:rPr>
      <w:rFonts w:asciiTheme="minorHAnsi" w:cstheme="majorBidi" w:eastAsiaTheme="majorEastAsia" w:hAnsiTheme="minorHAnsi"/>
      <w:iCs/>
      <w:color w:val="002147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F5CF1"/>
    <w:rPr>
      <w:rFonts w:asciiTheme="minorHAnsi" w:cstheme="majorBidi" w:eastAsiaTheme="majorEastAsia" w:hAnsiTheme="minorHAnsi"/>
      <w:color w:val="002147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F5CF1"/>
    <w:rPr>
      <w:rFonts w:asciiTheme="minorHAnsi" w:cstheme="majorBidi" w:eastAsiaTheme="majorEastAsia" w:hAnsiTheme="minorHAnsi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846576"/>
    <w:rPr>
      <w:rFonts w:asciiTheme="minorHAnsi" w:cstheme="majorBidi" w:eastAsiaTheme="majorEastAsia" w:hAnsiTheme="minorHAnsi"/>
      <w:color w:themeColor="text1" w:themeTint="D8" w:val="272727"/>
      <w:sz w:val="22"/>
    </w:rPr>
  </w:style>
  <w:style w:styleId="Title" w:type="paragraph">
    <w:name w:val="Title"/>
    <w:basedOn w:val="Normal"/>
    <w:next w:val="Normal"/>
    <w:link w:val="TitleChar"/>
    <w:uiPriority w:val="10"/>
    <w:qFormat/>
    <w:rsid w:val="00AF5CF1"/>
    <w:pPr>
      <w:spacing w:after="80"/>
      <w:contextualSpacing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F5CF1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Normal"/>
    <w:link w:val="SubtitleChar"/>
    <w:uiPriority w:val="11"/>
    <w:qFormat/>
    <w:rsid w:val="00AF5CF1"/>
    <w:pPr>
      <w:numPr>
        <w:ilvl w:val="1"/>
      </w:numPr>
      <w:spacing w:after="160"/>
    </w:pPr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F5CF1"/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styleId="Quote" w:type="paragraph">
    <w:name w:val="Quote"/>
    <w:basedOn w:val="Normal"/>
    <w:next w:val="Normal"/>
    <w:link w:val="QuoteChar"/>
    <w:uiPriority w:val="29"/>
    <w:qFormat/>
    <w:rsid w:val="00AF5CF1"/>
    <w:pPr>
      <w:spacing w:after="160" w:before="160"/>
      <w:jc w:val="center"/>
    </w:pPr>
    <w:rPr>
      <w:i/>
      <w:iCs/>
      <w:color w:themeColor="text1" w:themeTint="BF" w:val="404040"/>
    </w:rPr>
  </w:style>
  <w:style w:customStyle="1" w:styleId="QuoteChar" w:type="character">
    <w:name w:val="Quote Char"/>
    <w:basedOn w:val="DefaultParagraphFont"/>
    <w:link w:val="Quote"/>
    <w:uiPriority w:val="29"/>
    <w:rsid w:val="00AF5CF1"/>
    <w:rPr>
      <w:i/>
      <w:iCs/>
      <w:color w:themeColor="text1" w:themeTint="BF" w:val="404040"/>
    </w:rPr>
  </w:style>
  <w:style w:styleId="ListParagraph" w:type="paragraph">
    <w:name w:val="List Paragraph"/>
    <w:basedOn w:val="Normal"/>
    <w:uiPriority w:val="34"/>
    <w:qFormat/>
    <w:rsid w:val="00AF5CF1"/>
    <w:pPr>
      <w:ind w:left="720"/>
      <w:contextualSpacing/>
    </w:pPr>
  </w:style>
  <w:style w:styleId="IntenseEmphasis" w:type="character">
    <w:name w:val="Intense Emphasis"/>
    <w:basedOn w:val="DefaultParagraphFont"/>
    <w:uiPriority w:val="21"/>
    <w:qFormat/>
    <w:rsid w:val="00AF5CF1"/>
    <w:rPr>
      <w:i/>
      <w:iCs/>
      <w:color w:val="002147"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AF5CF1"/>
    <w:pPr>
      <w:pBdr>
        <w:top w:color="002147" w:space="10" w:sz="4" w:val="single"/>
        <w:bottom w:color="002147" w:space="10" w:sz="4" w:val="single"/>
      </w:pBdr>
      <w:spacing w:after="360" w:before="360"/>
      <w:ind w:left="864" w:right="864"/>
      <w:jc w:val="center"/>
    </w:pPr>
    <w:rPr>
      <w:i/>
      <w:iCs/>
      <w:color w:val="002147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AF5CF1"/>
    <w:rPr>
      <w:i/>
      <w:iCs/>
      <w:color w:val="002147"/>
    </w:rPr>
  </w:style>
  <w:style w:styleId="IntenseReference" w:type="character">
    <w:name w:val="Intense Reference"/>
    <w:basedOn w:val="DefaultParagraphFont"/>
    <w:uiPriority w:val="32"/>
    <w:qFormat/>
    <w:rsid w:val="00AF5CF1"/>
    <w:rPr>
      <w:b/>
      <w:bCs/>
      <w:smallCaps/>
      <w:color w:val="002147"/>
      <w:spacing w:val="5"/>
    </w:rPr>
  </w:style>
  <w:style w:styleId="HTMLCode" w:type="character">
    <w:name w:val="HTML Code"/>
    <w:basedOn w:val="DefaultParagraphFont"/>
    <w:uiPriority w:val="99"/>
    <w:unhideWhenUsed/>
    <w:rsid w:val="00771E03"/>
    <w:rPr>
      <w:rFonts w:ascii="Consolas" w:cs="Consolas" w:hAnsi="Consolas"/>
      <w:sz w:val="18"/>
      <w:szCs w:val="20"/>
    </w:rPr>
  </w:style>
  <w:style w:customStyle="1" w:styleId="Code" w:type="paragraph">
    <w:name w:val="Code"/>
    <w:basedOn w:val="Normal"/>
    <w:next w:val="Normal"/>
    <w:qFormat/>
    <w:rsid w:val="00BC28E9"/>
    <w:pPr>
      <w:pBdr>
        <w:top w:color="FF0000" w:space="1" w:sz="8" w:val="single"/>
        <w:left w:color="FF0000" w:space="4" w:sz="8" w:val="single"/>
        <w:bottom w:color="FF0000" w:space="1" w:sz="8" w:val="single"/>
        <w:right w:color="FF0000" w:space="4" w:sz="8" w:val="single"/>
      </w:pBdr>
      <w:shd w:color="auto" w:fill="auto" w:val="pct15"/>
      <w:spacing w:after="120" w:before="120"/>
      <w:ind w:left="432" w:right="432"/>
    </w:pPr>
    <w:rPr>
      <w:rFonts w:ascii="Courier New" w:hAnsi="Courier New"/>
      <w:sz w:val="18"/>
    </w:rPr>
  </w:style>
  <w:style w:customStyle="1" w:styleId="SourceCode" w:type="paragraph">
    <w:name w:val="Source Code"/>
    <w:basedOn w:val="Normal"/>
    <w:qFormat/>
    <w:rsid w:val="00771E03"/>
    <w:pPr>
      <w:pBdr>
        <w:top w:color="auto" w:space="1" w:sz="8" w:val="single"/>
        <w:left w:color="auto" w:space="4" w:sz="8" w:val="single"/>
        <w:bottom w:color="auto" w:space="1" w:sz="8" w:val="single"/>
        <w:right w:color="auto" w:space="4" w:sz="8" w:val="single"/>
      </w:pBdr>
      <w:shd w:color="auto" w:fill="auto" w:val="pct15"/>
      <w:spacing w:after="240" w:before="240"/>
      <w:ind w:left="432" w:right="432"/>
    </w:pPr>
    <w:rPr>
      <w:rFonts w:ascii="Courier New" w:hAnsi="Courier New"/>
      <w:sz w:val="20"/>
    </w:rPr>
  </w:style>
  <w:style w:customStyle="1" w:styleId="Verbatim" w:type="paragraph">
    <w:name w:val="Verbatim"/>
    <w:basedOn w:val="Normal"/>
    <w:qFormat/>
    <w:rsid w:val="00771E03"/>
    <w:pPr>
      <w:shd w:color="auto" w:fill="auto" w:val="pct15"/>
      <w:spacing w:after="240" w:before="240"/>
      <w:ind w:left="432" w:right="432"/>
    </w:pPr>
    <w:rPr>
      <w:rFonts w:ascii="Courier New" w:hAnsi="Courier New"/>
      <w:sz w:val="18"/>
    </w:rPr>
  </w:style>
  <w:style w:customStyle="1" w:styleId="CodeBlock" w:type="paragraph">
    <w:name w:val="Code Block"/>
    <w:basedOn w:val="Verbatim"/>
    <w:qFormat/>
    <w:rsid w:val="00BC28E9"/>
  </w:style>
  <w:style w:styleId="CommentText" w:type="paragraph">
    <w:name w:val="annotation text"/>
    <w:basedOn w:val="Normal"/>
    <w:link w:val="CommentTextChar"/>
    <w:uiPriority w:val="99"/>
    <w:unhideWhenUsed/>
    <w:rsid w:val="00771E03"/>
    <w:rPr>
      <w:sz w:val="20"/>
      <w:szCs w:val="20"/>
    </w:rPr>
  </w:style>
  <w:style w:customStyle="1" w:styleId="CommentTextChar" w:type="character">
    <w:name w:val="Comment Text Char"/>
    <w:basedOn w:val="DefaultParagraphFont"/>
    <w:link w:val="CommentText"/>
    <w:uiPriority w:val="99"/>
    <w:rsid w:val="00771E03"/>
    <w:rPr>
      <w:sz w:val="20"/>
      <w:szCs w:val="20"/>
    </w:rPr>
  </w:style>
  <w:style w:styleId="TOC1" w:type="paragraph">
    <w:name w:val="toc 1"/>
    <w:basedOn w:val="Normal"/>
    <w:next w:val="Normal"/>
    <w:autoRedefine/>
    <w:uiPriority w:val="39"/>
    <w:unhideWhenUsed/>
    <w:rsid w:val="00322D32"/>
    <w:pPr>
      <w:spacing w:after="100"/>
    </w:pPr>
  </w:style>
  <w:style w:type="character" w:customStyle="1" w:styleId="KeywordTok">
    <w:name w:val="KeywordTok"/>
    <w:basedOn w:val="VerbatimChar"/>
    <w:rPr>
      <w:color w:val="d73a49"/>
    </w:rPr>
  </w:style>
  <w:style w:type="character" w:customStyle="1" w:styleId="DataTypeTok">
    <w:name w:val="DataTypeTok"/>
    <w:basedOn w:val="VerbatimChar"/>
    <w:rPr>
      <w:color w:val="d73a49"/>
    </w:rPr>
  </w:style>
  <w:style w:type="character" w:customStyle="1" w:styleId="DecValTok">
    <w:name w:val="DecValTok"/>
    <w:basedOn w:val="VerbatimChar"/>
    <w:rPr>
      <w:color w:val="005cc5"/>
    </w:rPr>
  </w:style>
  <w:style w:type="character" w:customStyle="1" w:styleId="BaseNTok">
    <w:name w:val="BaseNTok"/>
    <w:basedOn w:val="VerbatimChar"/>
    <w:rPr>
      <w:color w:val="005cc5"/>
    </w:rPr>
  </w:style>
  <w:style w:type="character" w:customStyle="1" w:styleId="FloatTok">
    <w:name w:val="FloatTok"/>
    <w:basedOn w:val="VerbatimChar"/>
    <w:rPr>
      <w:color w:val="005cc5"/>
    </w:rPr>
  </w:style>
  <w:style w:type="character" w:customStyle="1" w:styleId="ConstantTok">
    <w:name w:val="ConstantTok"/>
    <w:basedOn w:val="VerbatimChar"/>
    <w:rPr>
      <w:color w:val="005cc5"/>
    </w:rPr>
  </w:style>
  <w:style w:type="character" w:customStyle="1" w:styleId="CharTok">
    <w:name w:val="CharTok"/>
    <w:basedOn w:val="VerbatimChar"/>
    <w:rPr>
      <w:color w:val="032f62"/>
    </w:rPr>
  </w:style>
  <w:style w:type="character" w:customStyle="1" w:styleId="SpecialCharTok">
    <w:name w:val="SpecialCharTok"/>
    <w:basedOn w:val="VerbatimChar"/>
    <w:rPr>
      <w:color w:val="005cc5"/>
    </w:rPr>
  </w:style>
  <w:style w:type="character" w:customStyle="1" w:styleId="StringTok">
    <w:name w:val="StringTok"/>
    <w:basedOn w:val="VerbatimChar"/>
    <w:rPr>
      <w:color w:val="032f62"/>
    </w:rPr>
  </w:style>
  <w:style w:type="character" w:customStyle="1" w:styleId="VerbatimStringTok">
    <w:name w:val="VerbatimStringTok"/>
    <w:basedOn w:val="VerbatimChar"/>
    <w:rPr>
      <w:color w:val="032f62"/>
    </w:rPr>
  </w:style>
  <w:style w:type="character" w:customStyle="1" w:styleId="SpecialStringTok">
    <w:name w:val="SpecialStringTok"/>
    <w:basedOn w:val="VerbatimChar"/>
    <w:rPr>
      <w:color w:val="032f62"/>
    </w:rPr>
  </w:style>
  <w:style w:type="character" w:customStyle="1" w:styleId="ImportTok">
    <w:name w:val="ImportTok"/>
    <w:basedOn w:val="VerbatimChar"/>
    <w:rPr>
      <w:color w:val="032f62"/>
    </w:rPr>
  </w:style>
  <w:style w:type="character" w:customStyle="1" w:styleId="CommentTok">
    <w:name w:val="CommentTok"/>
    <w:basedOn w:val="VerbatimChar"/>
    <w:rPr>
      <w:color w:val="6a737d"/>
    </w:rPr>
  </w:style>
  <w:style w:type="character" w:customStyle="1" w:styleId="DocumentationTok">
    <w:name w:val="DocumentationTok"/>
    <w:basedOn w:val="VerbatimChar"/>
    <w:rPr>
      <w:color w:val="6a737d"/>
    </w:rPr>
  </w:style>
  <w:style w:type="character" w:customStyle="1" w:styleId="AnnotationTok">
    <w:name w:val="AnnotationTok"/>
    <w:basedOn w:val="VerbatimChar"/>
    <w:rPr>
      <w:color w:val="6a737d"/>
    </w:rPr>
  </w:style>
  <w:style w:type="character" w:customStyle="1" w:styleId="CommentVarTok">
    <w:name w:val="CommentVarTok"/>
    <w:basedOn w:val="VerbatimChar"/>
    <w:rPr>
      <w:color w:val="6a737d"/>
    </w:rPr>
  </w:style>
  <w:style w:type="character" w:customStyle="1" w:styleId="OtherTok">
    <w:name w:val="OtherTok"/>
    <w:basedOn w:val="VerbatimChar"/>
    <w:rPr>
      <w:color w:val="6f42c1"/>
    </w:rPr>
  </w:style>
  <w:style w:type="character" w:customStyle="1" w:styleId="FunctionTok">
    <w:name w:val="FunctionTok"/>
    <w:basedOn w:val="VerbatimChar"/>
    <w:rPr>
      <w:color w:val="6f42c1"/>
    </w:rPr>
  </w:style>
  <w:style w:type="character" w:customStyle="1" w:styleId="VariableTok">
    <w:name w:val="VariableTok"/>
    <w:basedOn w:val="VerbatimChar"/>
    <w:rPr>
      <w:color w:val="e36209"/>
    </w:rPr>
  </w:style>
  <w:style w:type="character" w:customStyle="1" w:styleId="ControlFlowTok">
    <w:name w:val="ControlFlowTok"/>
    <w:basedOn w:val="VerbatimChar"/>
    <w:rPr>
      <w:color w:val="d73a49"/>
    </w:rPr>
  </w:style>
  <w:style w:type="character" w:customStyle="1" w:styleId="OperatorTok">
    <w:name w:val="OperatorTok"/>
    <w:basedOn w:val="VerbatimChar"/>
    <w:rPr>
      <w:color w:val="24292e"/>
    </w:rPr>
  </w:style>
  <w:style w:type="character" w:customStyle="1" w:styleId="BuiltInTok">
    <w:name w:val="BuiltInTok"/>
    <w:basedOn w:val="VerbatimChar"/>
    <w:rPr>
      <w:color w:val="d73a49"/>
    </w:rPr>
  </w:style>
  <w:style w:type="character" w:customStyle="1" w:styleId="ExtensionTok">
    <w:name w:val="ExtensionTok"/>
    <w:basedOn w:val="VerbatimChar"/>
    <w:rPr>
      <w:b/>
      <w:color w:val="d73a49"/>
    </w:rPr>
  </w:style>
  <w:style w:type="character" w:customStyle="1" w:styleId="PreprocessorTok">
    <w:name w:val="PreprocessorTok"/>
    <w:basedOn w:val="VerbatimChar"/>
    <w:rPr>
      <w:color w:val="d73a49"/>
    </w:rPr>
  </w:style>
  <w:style w:type="character" w:customStyle="1" w:styleId="AttributeTok">
    <w:name w:val="AttributeTok"/>
    <w:basedOn w:val="VerbatimChar"/>
    <w:rPr>
      <w:color w:val="d73a49"/>
    </w:rPr>
  </w:style>
  <w:style w:type="character" w:customStyle="1" w:styleId="RegionMarkerTok">
    <w:name w:val="RegionMarkerTok"/>
    <w:basedOn w:val="VerbatimChar"/>
    <w:rPr>
      <w:color w:val="6a737d"/>
    </w:rPr>
  </w:style>
  <w:style w:type="character" w:customStyle="1" w:styleId="InformationTok">
    <w:name w:val="InformationTok"/>
    <w:basedOn w:val="VerbatimChar"/>
    <w:rPr>
      <w:color w:val="6a737d"/>
    </w:rPr>
  </w:style>
  <w:style w:type="character" w:customStyle="1" w:styleId="WarningTok">
    <w:name w:val="WarningTok"/>
    <w:basedOn w:val="VerbatimChar"/>
    <w:rPr>
      <w:color w:val="ff5555"/>
    </w:rPr>
  </w:style>
  <w:style w:type="character" w:customStyle="1" w:styleId="AlertTok">
    <w:name w:val="AlertTok"/>
    <w:basedOn w:val="VerbatimChar"/>
    <w:rPr>
      <w:b/>
      <w:color w:val="ff5555"/>
    </w:rPr>
  </w:style>
  <w:style w:type="character" w:customStyle="1" w:styleId="ErrorTok">
    <w:name w:val="ErrorTok"/>
    <w:basedOn w:val="VerbatimChar"/>
    <w:rPr>
      <w:color w:val="ff5555"/>
      <w:u/>
    </w:rPr>
  </w:style>
  <w:style w:type="character" w:customStyle="1" w:styleId="NormalTok">
    <w:name w:val="NormalTok"/>
    <w:basedOn w:val="VerbatimChar"/>
    <w:rPr>
      <w:color w:val="24292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1" Target="media/rId11.png" /><Relationship Type="http://schemas.openxmlformats.org/officeDocument/2006/relationships/image" Id="rId15" Target="media/rId15.png" /><Relationship Type="http://schemas.openxmlformats.org/officeDocument/2006/relationships/image" Id="rId19" Target="media/rId19.png" /><Relationship Type="http://schemas.openxmlformats.org/officeDocument/2006/relationships/hyperlink" Id="rId9" Target="13_joins.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13_joins.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Common Code 13 — Joining Data Frames</dc:title>
  <dc:creator>Bill Perry</dc:creator>
  <dc:description>How to join dataframes into a new one</dc:description>
  <cp:keywords/>
  <dcterms:created xsi:type="dcterms:W3CDTF">2026-07-06T00:32:03Z</dcterms:created>
  <dcterms:modified xsi:type="dcterms:W3CDTF">2026-07-06T00:32:03Z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categories">
    <vt:lpwstr/>
  </property>
  <property fmtid="{D5CDD505-2E9C-101B-9397-08002B2CF9AE}" pid="6" name="date">
    <vt:lpwstr>2026-07-05</vt:lpwstr>
  </property>
  <property fmtid="{D5CDD505-2E9C-101B-9397-08002B2CF9AE}" pid="7" name="editor">
    <vt:lpwstr>visual</vt:lpwstr>
  </property>
  <property fmtid="{D5CDD505-2E9C-101B-9397-08002B2CF9AE}" pid="8" name="engines">
    <vt:lpwstr/>
  </property>
  <property fmtid="{D5CDD505-2E9C-101B-9397-08002B2CF9AE}" pid="9" name="execute">
    <vt:lpwstr/>
  </property>
  <property fmtid="{D5CDD505-2E9C-101B-9397-08002B2CF9AE}" pid="10" name="header-includes">
    <vt:lpwstr/>
  </property>
  <property fmtid="{D5CDD505-2E9C-101B-9397-08002B2CF9AE}" pid="11" name="include-after">
    <vt:lpwstr/>
  </property>
  <property fmtid="{D5CDD505-2E9C-101B-9397-08002B2CF9AE}" pid="12" name="include-before">
    <vt:lpwstr/>
  </property>
  <property fmtid="{D5CDD505-2E9C-101B-9397-08002B2CF9AE}" pid="13" name="labels">
    <vt:lpwstr/>
  </property>
  <property fmtid="{D5CDD505-2E9C-101B-9397-08002B2CF9AE}" pid="14" name="subtitle">
    <vt:lpwstr>left_join, inner_join, full_join, anti_join — merging tables by a shared key</vt:lpwstr>
  </property>
  <property fmtid="{D5CDD505-2E9C-101B-9397-08002B2CF9AE}" pid="15" name="toc-title">
    <vt:lpwstr>Table of contents</vt:lpwstr>
  </property>
  <property fmtid="{D5CDD505-2E9C-101B-9397-08002B2CF9AE}" pid="16" name="topic_number">
    <vt:lpwstr>13</vt:lpwstr>
  </property>
  <property fmtid="{D5CDD505-2E9C-101B-9397-08002B2CF9AE}" pid="17" name="type">
    <vt:lpwstr>common_code</vt:lpwstr>
  </property>
</Properties>
</file>