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 Shady Leaves Weigh More? A Two-Sample t-Test</w:t>
      </w:r>
    </w:p>
    <w:p>
      <w:pPr>
        <w:pStyle w:val="Subtitle"/>
      </w:pPr>
      <w:r>
        <w:t xml:space="preserve">A reproducible write-up of the Worksheet 04 analysis</w:t>
      </w:r>
    </w:p>
    <w:p>
      <w:pPr>
        <w:pStyle w:val="Author"/>
      </w:pPr>
      <w:r>
        <w:t xml:space="preserve">Your Name Here</w:t>
      </w:r>
    </w:p>
    <w:p>
      <w:pPr>
        <w:pStyle w:val="Date"/>
      </w:pPr>
      <w:r>
        <w:t xml:space="preserve">2026-07-05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9" w:name="introduction"/>
    <w:p>
      <w:pPr>
        <w:pStyle w:val="Heading1"/>
      </w:pPr>
      <w:r>
        <w:t xml:space="preserve">1. Introduction</w:t>
      </w:r>
    </w:p>
    <w:p>
      <w:pPr>
        <w:pStyle w:val="FirstParagraph"/>
      </w:pPr>
      <w:r>
        <w:t xml:space="preserve">Leaves on the</w:t>
      </w:r>
      <w:r>
        <w:t xml:space="preserve"> </w:t>
      </w:r>
      <w:r>
        <w:rPr>
          <w:b/>
          <w:bCs/>
        </w:rPr>
        <w:t xml:space="preserve">shady</w:t>
      </w:r>
      <w:r>
        <w:t xml:space="preserve"> </w:t>
      </w:r>
      <w:r>
        <w:t xml:space="preserve">side of a tree may grow larger and heavier to capture</w:t>
      </w:r>
      <w:r>
        <w:t xml:space="preserve"> </w:t>
      </w:r>
      <w:r>
        <w:t xml:space="preserve">more of the limited light beneath the canopy. We measured the weight (g) of ten</w:t>
      </w:r>
      <w:r>
        <w:t xml:space="preserve"> </w:t>
      </w:r>
      <w:r>
        <w:t xml:space="preserve">leaves from each side of a tree and tested whether mean leaf weight differs</w:t>
      </w:r>
      <w:r>
        <w:t xml:space="preserve"> </w:t>
      </w:r>
      <w:r>
        <w:t xml:space="preserve">between sides.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Null hypothesis (H₀):</w:t>
      </w:r>
      <w:r>
        <w:t xml:space="preserve"> </w:t>
      </w:r>
      <m:oMath>
        <m:sSub>
          <m:e>
            <m:r>
              <m:t>μ</m:t>
            </m:r>
          </m:e>
          <m:sub>
            <m:r>
              <m:t>s</m:t>
            </m:r>
            <m:r>
              <m:t>h</m:t>
            </m:r>
            <m:r>
              <m:t>a</m:t>
            </m:r>
            <m:r>
              <m:t>d</m:t>
            </m:r>
            <m:r>
              <m:t>y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s</m:t>
            </m:r>
            <m:r>
              <m:t>u</m:t>
            </m:r>
            <m:r>
              <m:t>n</m:t>
            </m:r>
            <m:r>
              <m:t>n</m:t>
            </m:r>
            <m:r>
              <m:t>y</m:t>
            </m:r>
          </m:sub>
        </m:sSub>
      </m:oMath>
      <w:r>
        <w:t xml:space="preserve"> </w:t>
      </w:r>
      <w:r>
        <w:t xml:space="preserve">— no difference in mean weight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Alternate hypothesis (Hₐ):</w:t>
      </w:r>
      <w:r>
        <w:t xml:space="preserve"> </w:t>
      </w:r>
      <m:oMath>
        <m:sSub>
          <m:e>
            <m:r>
              <m:t>μ</m:t>
            </m:r>
          </m:e>
          <m:sub>
            <m:r>
              <m:t>s</m:t>
            </m:r>
            <m:r>
              <m:t>h</m:t>
            </m:r>
            <m:r>
              <m:t>a</m:t>
            </m:r>
            <m:r>
              <m:t>d</m:t>
            </m:r>
            <m:r>
              <m:t>y</m:t>
            </m:r>
          </m:sub>
        </m:sSub>
        <m:r>
          <m:rPr>
            <m:sty m:val="p"/>
          </m:rPr>
          <m:t>≠</m:t>
        </m:r>
        <m:sSub>
          <m:e>
            <m:r>
              <m:t>μ</m:t>
            </m:r>
          </m:e>
          <m:sub>
            <m:r>
              <m:t>s</m:t>
            </m:r>
            <m:r>
              <m:t>u</m:t>
            </m:r>
            <m:r>
              <m:t>n</m:t>
            </m:r>
            <m:r>
              <m:t>n</m:t>
            </m:r>
            <m:r>
              <m:t>y</m:t>
            </m:r>
          </m:sub>
        </m:sSub>
      </m:oMath>
      <w:r>
        <w:t xml:space="preserve"> </w:t>
      </w:r>
      <w:r>
        <w:t xml:space="preserve">— the means differ</w:t>
      </w:r>
    </w:p>
    <w:p>
      <w:pPr>
        <w:pStyle w:val="FirstParagraph"/>
      </w:pPr>
      <w:r>
        <w:t xml:space="preserve">We used a two-tailed test at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.</w:t>
      </w:r>
    </w:p>
    <w:bookmarkEnd w:id="9"/>
    <w:bookmarkStart w:id="10" w:name="methods"/>
    <w:p>
      <w:pPr>
        <w:pStyle w:val="Heading1"/>
      </w:pPr>
      <w:r>
        <w:t xml:space="preserve">2. Methods</w:t>
      </w:r>
    </w:p>
    <w:p>
      <w:pPr>
        <w:pStyle w:val="FirstParagraph"/>
      </w:pPr>
      <w:r>
        <w:t xml:space="preserve">We compared the two sides with a</w:t>
      </w:r>
      <w:r>
        <w:t xml:space="preserve"> </w:t>
      </w:r>
      <w:r>
        <w:rPr>
          <w:b/>
          <w:bCs/>
        </w:rPr>
        <w:t xml:space="preserve">Welch’s two-sample t-test</w:t>
      </w:r>
      <w:r>
        <w:t xml:space="preserve"> </w:t>
      </w:r>
      <w:r>
        <w:t xml:space="preserve">(</w:t>
      </w:r>
      <w:r>
        <w:rPr>
          <w:rStyle w:val="VerbatimChar"/>
        </w:rPr>
        <w:t xml:space="preserve">var.equal = FALSE</w:t>
      </w:r>
      <w:r>
        <w:t xml:space="preserve">), which does not assume equal variances. Before testing we</w:t>
      </w:r>
      <w:r>
        <w:t xml:space="preserve"> </w:t>
      </w:r>
      <w:r>
        <w:t xml:space="preserve">checked normality within each group with a Shapiro–Wilk test. All analysis was</w:t>
      </w:r>
      <w:r>
        <w:t xml:space="preserve"> </w:t>
      </w:r>
      <w:r>
        <w:t xml:space="preserve">done in R with the tidyverse, and this report was produced in Quarto so that</w:t>
      </w:r>
      <w:r>
        <w:t xml:space="preserve"> </w:t>
      </w:r>
      <w:r>
        <w:t xml:space="preserve">every value below is computed directly from the raw data.</w:t>
      </w:r>
    </w:p>
    <w:bookmarkEnd w:id="10"/>
    <w:bookmarkStart w:id="17" w:name="results"/>
    <w:p>
      <w:pPr>
        <w:pStyle w:val="Heading1"/>
      </w:pPr>
      <w:r>
        <w:t xml:space="preserve">3. Results</w:t>
      </w:r>
    </w:p>
    <w:p>
      <w:pPr>
        <w:pStyle w:val="TableCaption"/>
      </w:pPr>
      <w:r>
        <w:t xml:space="preserve">Table 1. Leaf weight (g) by side of tree (mean, SD, SE).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Table 1. Leaf weight (g) by side of tree (mean, SD, SE).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mean_wt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sd_wt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se_wt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shady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sunny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0.25</w:t>
            </w:r>
          </w:p>
        </w:tc>
      </w:tr>
    </w:tbl>
    <w:p>
      <w:pPr>
        <w:pStyle w:val="BodyText"/>
      </w:pPr>
      <w:r>
        <w:t xml:space="preserve">Shady-side leaves were significantly</w:t>
      </w:r>
      <w:r>
        <w:t xml:space="preserve"> </w:t>
      </w:r>
      <w:r>
        <w:rPr>
          <w:b/>
          <w:bCs/>
        </w:rPr>
        <w:t xml:space="preserve">heavier</w:t>
      </w:r>
      <w:r>
        <w:t xml:space="preserve"> </w:t>
      </w:r>
      <w:r>
        <w:t xml:space="preserve">than sunny-side leaves</w:t>
      </w:r>
      <w:r>
        <w:t xml:space="preserve"> </w:t>
      </w:r>
      <w:r>
        <w:t xml:space="preserve">(Welch’s two-sample t-test: t(16.8) = 9.73,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= 2.5</w:t>
      </w:r>
      <w:r>
        <w:t xml:space="preserve">^{-8}).</w:t>
      </w:r>
      <w:r>
        <w:t xml:space="preserve"> </w:t>
      </w:r>
      <w:r>
        <w:t xml:space="preserve">Mean ± SE weight was 7.8 ± 0.33 g for shady leaves and</w:t>
      </w:r>
      <w:r>
        <w:t xml:space="preserve"> </w:t>
      </w:r>
      <w:r>
        <w:t xml:space="preserve">3.8 ± 0.25 g for sunny leaves.</w:t>
      </w:r>
    </w:p>
    <w:tbl>
      <w:tblPr>
        <w:tblStyle w:val="Table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  <w:right w:w="144" w:type="dxa"/>
            </w:tcMar>
          </w:tcPr>
          <w:p>
            <w:pPr>
              <w:pStyle w:val="BodyText"/>
            </w:pPr>
            <w:pPr>
              <w:spacing w:before="0" w:after="8"/>
              <w:jc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BodyText"/>
            </w:pPr>
            <w:pPr>
              <w:spacing w:before="16" w:after="64"/>
            </w:pPr>
          </w:p>
          <w:p>
            <w:pPr>
              <w:pStyle w:val="BodyText"/>
            </w:pPr>
            <w:pPr>
              <w:spacing w:before="16" w:after="16"/>
            </w:pPr>
            <w:r>
              <w:t xml:space="preserve">Every statistic in that sentence — t, df,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, and both means ± SE — was inserted</w:t>
            </w:r>
            <w:r>
              <w:t xml:space="preserve"> </w:t>
            </w:r>
            <w:r>
              <w:t xml:space="preserve">with inline code such as</w:t>
            </w:r>
            <w:r>
              <w:t xml:space="preserve"> </w:t>
            </w:r>
            <w:r>
              <w:rPr>
                <w:rStyle w:val="VerbatimChar"/>
              </w:rPr>
              <w:t xml:space="preserve">9.73</w:t>
            </w:r>
            <w:r>
              <w:t xml:space="preserve">. If a leaf measurement changed, you</w:t>
            </w:r>
            <w:r>
              <w:t xml:space="preserve"> </w:t>
            </w:r>
            <w:r>
              <w:t xml:space="preserve">would fix the data file, press</w:t>
            </w:r>
            <w:r>
              <w:t xml:space="preserve"> </w:t>
            </w:r>
            <w:r>
              <w:rPr>
                <w:b/>
                <w:bCs/>
              </w:rPr>
              <w:t xml:space="preserve">Render</w:t>
            </w:r>
            <w:r>
              <w:t xml:space="preserve">, and the sentence would rewrite itself.</w:t>
            </w:r>
            <w:r>
              <w:t xml:space="preserve"> </w:t>
            </w:r>
            <w:r>
              <w:t xml:space="preserve">In a plain script you would retype all of these by hand.</w:t>
            </w:r>
          </w:p>
        </w:tc>
      </w:tr>
    </w:tbl>
    <w:p>
      <w:pPr>
        <w:pStyle w:val="CaptionedFigure"/>
      </w:pPr>
      <w:r>
        <w:drawing>
          <wp:inline>
            <wp:extent cx="5943600" cy="3962400"/>
            <wp:effectExtent b="0" l="0" r="0" t="0"/>
            <wp:docPr descr="Figure 1. Leaf weight by side of tree. Points show individual leaves; the test result is printed in the subtitle." title="" id="15" name="Picture"/>
            <a:graphic>
              <a:graphicData uri="http://schemas.openxmlformats.org/drawingml/2006/picture">
                <pic:pic>
                  <pic:nvPicPr>
                    <pic:cNvPr descr="t_test_report_files/figure-docx/boxplot-1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Figure 1. Leaf weight by side of tree. Points show individual leaves; the test result is printed in the subtitle.</w:t>
      </w:r>
    </w:p>
    <w:bookmarkEnd w:id="17"/>
    <w:bookmarkStart w:id="18" w:name="conclusion"/>
    <w:p>
      <w:pPr>
        <w:pStyle w:val="Heading1"/>
      </w:pPr>
      <w:r>
        <w:t xml:space="preserve">4. Conclusion</w:t>
      </w:r>
    </w:p>
    <w:p>
      <w:pPr>
        <w:pStyle w:val="FirstParagraph"/>
      </w:pPr>
      <w:r>
        <w:t xml:space="preserve">At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0.05</m:t>
        </m:r>
      </m:oMath>
      <w:r>
        <w:t xml:space="preserve"> </w:t>
      </w:r>
      <w:r>
        <w:t xml:space="preserve">we</w:t>
      </w:r>
      <w:r>
        <w:t xml:space="preserve"> </w:t>
      </w:r>
      <w:r>
        <w:rPr>
          <w:b/>
          <w:bCs/>
        </w:rPr>
        <w:t xml:space="preserve">reject the null hypothesis</w:t>
      </w:r>
      <w:r>
        <w:t xml:space="preserve">: mean leaf weight differs</w:t>
      </w:r>
      <w:r>
        <w:t xml:space="preserve"> </w:t>
      </w:r>
      <w:r>
        <w:t xml:space="preserve">between the sunny and shady sides of the tree, with shady leaves heavier. This</w:t>
      </w:r>
      <w:r>
        <w:t xml:space="preserve"> </w:t>
      </w:r>
      <w:r>
        <w:t xml:space="preserve">matches the biological prediction that shade leaves grow larger to capture more</w:t>
      </w:r>
      <w:r>
        <w:t xml:space="preserve"> </w:t>
      </w:r>
      <w:r>
        <w:t xml:space="preserve">of the limited light.</w:t>
      </w:r>
      <w:r>
        <w:t xml:space="preserve"> </w:t>
      </w:r>
      <w:r>
        <w:rPr>
          <w:i/>
          <w:iCs/>
        </w:rPr>
        <w:t xml:space="preserve">(Add a sentence of your own interpretation here.)</w:t>
      </w:r>
    </w:p>
    <w:bookmarkEnd w:id="18"/>
    <w:bookmarkStart w:id="20" w:name="references"/>
    <w:p>
      <w:pPr>
        <w:pStyle w:val="Heading1"/>
      </w:pPr>
      <w:r>
        <w:t xml:space="preserve">5. References</w:t>
      </w:r>
    </w:p>
    <w:p>
      <w:pPr>
        <w:pStyle w:val="Compact"/>
        <w:numPr>
          <w:ilvl w:val="0"/>
          <w:numId w:val="1002"/>
        </w:numPr>
      </w:pPr>
      <w:r>
        <w:t xml:space="preserve">Whitlock, M. &amp; Schluter, D.</w:t>
      </w:r>
      <w:r>
        <w:t xml:space="preserve"> </w:t>
      </w:r>
      <w:r>
        <w:rPr>
          <w:i/>
          <w:iCs/>
        </w:rPr>
        <w:t xml:space="preserve">The Analysis of Biological Data</w:t>
      </w:r>
      <w:r>
        <w:t xml:space="preserve"> </w:t>
      </w:r>
      <w:r>
        <w:t xml:space="preserve">(2nd ed.).</w:t>
      </w:r>
    </w:p>
    <w:p>
      <w:pPr>
        <w:pStyle w:val="Compact"/>
        <w:numPr>
          <w:ilvl w:val="0"/>
          <w:numId w:val="1002"/>
        </w:numPr>
      </w:pPr>
      <w:r>
        <w:t xml:space="preserve">Wickham, H.</w:t>
      </w:r>
      <w:r>
        <w:t xml:space="preserve"> </w:t>
      </w:r>
      <w:r>
        <w:rPr>
          <w:i/>
          <w:iCs/>
        </w:rPr>
        <w:t xml:space="preserve">R for Data Science (2nd ed.)</w:t>
      </w:r>
      <w:r>
        <w:t xml:space="preserve"> </w:t>
      </w:r>
      <w:r>
        <w:t xml:space="preserve">—</w:t>
      </w:r>
      <w:r>
        <w:t xml:space="preserve"> </w:t>
      </w:r>
      <w:hyperlink r:id="rId19">
        <w:r>
          <w:rPr>
            <w:rStyle w:val="Hyperlink"/>
          </w:rPr>
          <w:t xml:space="preserve">https://r4ds.hadley.nz/</w:t>
        </w:r>
      </w:hyperlink>
    </w:p>
    <w:bookmarkEnd w:id="20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4" Target="media/rId14.png" /><Relationship Type="http://schemas.openxmlformats.org/officeDocument/2006/relationships/hyperlink" Id="rId19" Target="https://r4ds.hadley.nz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r4ds.hadley.nz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Shady Leaves Weigh More? A Two-Sample t-Test</dc:title>
  <dc:creator>Your Name Here</dc:creator>
  <cp:keywords/>
  <dcterms:created xsi:type="dcterms:W3CDTF">2026-07-06T00:31:37Z</dcterms:created>
  <dcterms:modified xsi:type="dcterms:W3CDTF">2026-07-06T00:31:37Z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2026-07-05</vt:lpwstr>
  </property>
  <property fmtid="{D5CDD505-2E9C-101B-9397-08002B2CF9AE}" pid="6" name="engines">
    <vt:lpwstr/>
  </property>
  <property fmtid="{D5CDD505-2E9C-101B-9397-08002B2CF9AE}" pid="7" name="execute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order">
    <vt:lpwstr>5</vt:lpwstr>
  </property>
  <property fmtid="{D5CDD505-2E9C-101B-9397-08002B2CF9AE}" pid="13" name="resources">
    <vt:lpwstr/>
  </property>
  <property fmtid="{D5CDD505-2E9C-101B-9397-08002B2CF9AE}" pid="14" name="subtitle">
    <vt:lpwstr>A reproducible write-up of the Worksheet 04 analysis</vt:lpwstr>
  </property>
  <property fmtid="{D5CDD505-2E9C-101B-9397-08002B2CF9AE}" pid="15" name="toc-title">
    <vt:lpwstr>Table of contents</vt:lpwstr>
  </property>
  <property fmtid="{D5CDD505-2E9C-101B-9397-08002B2CF9AE}" pid="16" name="week">
    <vt:lpwstr>3</vt:lpwstr>
  </property>
</Properties>
</file>