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  <Override PartName="/word/media/rId14.png" ContentType="image/png"/>
  <Override PartName="/word/media/rId18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Paper Calibration Curve: Predicting Leaf Area from Mass</w:t>
      </w:r>
    </w:p>
    <w:p>
      <w:pPr>
        <w:pStyle w:val="Subtitle"/>
      </w:pPr>
      <w:r>
        <w:t xml:space="preserve">The same analysis as regression_analysis_script.R — but as a report</w:t>
      </w:r>
    </w:p>
    <w:p>
      <w:pPr>
        <w:pStyle w:val="Author"/>
      </w:pPr>
      <w:r>
        <w:t xml:space="preserve">Your Name Here</w:t>
      </w:r>
    </w:p>
    <w:p>
      <w:pPr>
        <w:pStyle w:val="Date"/>
      </w:pPr>
      <w:r>
        <w:t xml:space="preserve">2026-07-05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bookmarkStart w:id="9" w:name="introduction"/>
    <w:p>
      <w:pPr>
        <w:pStyle w:val="Heading1"/>
      </w:pPr>
      <w:r>
        <w:t xml:space="preserve">1. Introduction</w:t>
      </w:r>
    </w:p>
    <w:p>
      <w:pPr>
        <w:pStyle w:val="FirstParagraph"/>
      </w:pPr>
      <w:r>
        <w:t xml:space="preserve">To estimate leaf surface area without a leaf-area meter, we built a</w:t>
      </w:r>
      <w:r>
        <w:t xml:space="preserve"> </w:t>
      </w:r>
      <w:r>
        <w:rPr>
          <w:b/>
          <w:bCs/>
        </w:rPr>
        <w:t xml:space="preserve">calibration curve</w:t>
      </w:r>
      <w:r>
        <w:t xml:space="preserve">. Paper of uniform stock has a constant area-per-gram, so</w:t>
      </w:r>
      <w:r>
        <w:t xml:space="preserve"> </w:t>
      </w:r>
      <w:r>
        <w:t xml:space="preserve">the</w:t>
      </w:r>
      <w:r>
        <w:t xml:space="preserve"> </w:t>
      </w:r>
      <w:r>
        <w:rPr>
          <w:b/>
          <w:bCs/>
        </w:rPr>
        <w:t xml:space="preserve">mass</w:t>
      </w:r>
      <w:r>
        <w:t xml:space="preserve"> </w:t>
      </w:r>
      <w:r>
        <w:t xml:space="preserve">of a paper square is a near-perfect linear predictor of its</w:t>
      </w:r>
      <w:r>
        <w:t xml:space="preserve"> </w:t>
      </w:r>
      <w:r>
        <w:rPr>
          <w:b/>
          <w:bCs/>
        </w:rPr>
        <w:t xml:space="preserve">area</w:t>
      </w:r>
      <w:r>
        <w:t xml:space="preserve">. Once we know that relationship, we can trace a leaf onto the same</w:t>
      </w:r>
      <w:r>
        <w:t xml:space="preserve"> </w:t>
      </w:r>
      <w:r>
        <w:t xml:space="preserve">paper, weigh the tracing, and convert its mass to area.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Explanatory variable (X):</w:t>
      </w:r>
      <w:r>
        <w:t xml:space="preserve"> </w:t>
      </w:r>
      <w:r>
        <w:t xml:space="preserve">paper mass (g) — easy to measure on a balance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Response variable (Y):</w:t>
      </w:r>
      <w:r>
        <w:t xml:space="preserve"> </w:t>
      </w:r>
      <w:r>
        <w:t xml:space="preserve">paper area (cm²) — what we want to predict</w:t>
      </w:r>
    </w:p>
    <w:bookmarkEnd w:id="9"/>
    <w:bookmarkStart w:id="10" w:name="methods"/>
    <w:p>
      <w:pPr>
        <w:pStyle w:val="Heading1"/>
      </w:pPr>
      <w:r>
        <w:t xml:space="preserve">2. Methods</w:t>
      </w:r>
    </w:p>
    <w:p>
      <w:pPr>
        <w:pStyle w:val="FirstParagraph"/>
      </w:pPr>
      <w:r>
        <w:t xml:space="preserve">We weighed 118 paper squares of known area (1–567 cm²) and fit a simple linear</w:t>
      </w:r>
      <w:r>
        <w:t xml:space="preserve"> </w:t>
      </w:r>
      <w:r>
        <w:t xml:space="preserve">regression,</w:t>
      </w:r>
      <w:r>
        <w:t xml:space="preserve"> </w:t>
      </w:r>
      <w:r>
        <w:rPr>
          <w:rStyle w:val="VerbatimChar"/>
        </w:rPr>
        <w:t xml:space="preserve">area_cm2 ~ mass_g</w:t>
      </w:r>
      <w:r>
        <w:t xml:space="preserve">, with</w:t>
      </w:r>
      <w:r>
        <w:t xml:space="preserve"> </w:t>
      </w:r>
      <w:r>
        <w:rPr>
          <w:rStyle w:val="VerbatimChar"/>
        </w:rPr>
        <w:t xml:space="preserve">lm()</w:t>
      </w:r>
      <w:r>
        <w:t xml:space="preserve">. We checked the four regression</w:t>
      </w:r>
      <w:r>
        <w:t xml:space="preserve"> </w:t>
      </w:r>
      <w:r>
        <w:t xml:space="preserve">assumptions using a residuals-vs-fitted plot and a normal Q–Q plot with a</w:t>
      </w:r>
      <w:r>
        <w:t xml:space="preserve"> </w:t>
      </w:r>
      <w:r>
        <w:t xml:space="preserve">Shapiro–Wilk test on the residuals. All work was done in R with the tidyverse;</w:t>
      </w:r>
      <w:r>
        <w:t xml:space="preserve"> </w:t>
      </w:r>
      <w:r>
        <w:t xml:space="preserve">this report was written in Quarto so every number and figure below is computed</w:t>
      </w:r>
      <w:r>
        <w:t xml:space="preserve"> </w:t>
      </w:r>
      <w:r>
        <w:t xml:space="preserve">directly from the data.</w:t>
      </w:r>
    </w:p>
    <w:bookmarkEnd w:id="10"/>
    <w:bookmarkStart w:id="23" w:name="results"/>
    <w:p>
      <w:pPr>
        <w:pStyle w:val="Heading1"/>
      </w:pPr>
      <w:r>
        <w:t xml:space="preserve">3. Results</w:t>
      </w:r>
    </w:p>
    <w:p>
      <w:pPr>
        <w:pStyle w:val="FirstParagraph"/>
      </w:pPr>
      <w:r>
        <w:t xml:space="preserve">Paper mass was an extremely strong predictor of paper area</w:t>
      </w:r>
      <w:r>
        <w:t xml:space="preserve"> </w:t>
      </w:r>
      <w:r>
        <w:t xml:space="preserve">(linear regression: F(1, 116) = 7.849329</w:t>
      </w:r>
      <w:r>
        <w:t xml:space="preserve">^{5},</w:t>
      </w:r>
      <w:r>
        <w:t xml:space="preserve"> </w:t>
      </w:r>
      <w:r>
        <w:rPr>
          <w:i/>
          <w:iCs/>
        </w:rPr>
        <w:t xml:space="preserve">p</w:t>
      </w:r>
      <w:r>
        <w:t xml:space="preserve"> </w:t>
      </w:r>
      <w:r>
        <w:t xml:space="preserve">&lt; 5</w:t>
      </w:r>
      <w:r>
        <w:t xml:space="preserve">^{-224}, R² = 0.9999). The calibration</w:t>
      </w:r>
      <w:r>
        <w:t xml:space="preserve"> </w:t>
      </w:r>
      <w:r>
        <w:t xml:space="preserve">equation was:</w:t>
      </w:r>
    </w:p>
    <w:p>
      <w:pPr>
        <w:pStyle w:val="BodyText"/>
      </w:pPr>
      <m:oMathPara>
        <m:oMathParaPr>
          <m:jc m:val="center"/>
        </m:oMathParaPr>
        <m:oMath>
          <m:acc>
            <m:accPr>
              <m:chr m:val="̂"/>
            </m:accPr>
            <m:e>
              <m:r>
                <m:rPr>
                  <m:nor/>
                  <m:sty m:val="p"/>
                </m:rPr>
                <m:t>area</m:t>
              </m:r>
            </m:e>
          </m:acc>
          <m:r>
            <m:rPr>
              <m:sty m:val="p"/>
            </m:rPr>
            <m:t>=</m:t>
          </m:r>
          <m:r>
            <m:t>130.52</m:t>
          </m:r>
          <m:r>
            <m:rPr>
              <m:sty m:val="p"/>
            </m:rPr>
            <m:t>×</m:t>
          </m:r>
          <m:r>
            <m:rPr>
              <m:nor/>
              <m:sty m:val="p"/>
            </m:rPr>
            <m:t>mass</m:t>
          </m:r>
          <m:r>
            <m:rPr>
              <m:sty m:val="p"/>
            </m:rPr>
            <m:t>+</m:t>
          </m:r>
          <m:r>
            <m:t>0.279</m:t>
          </m:r>
        </m:oMath>
      </m:oMathPara>
    </w:p>
    <w:p>
      <w:pPr>
        <w:pStyle w:val="FirstParagraph"/>
      </w:pPr>
      <w:r>
        <w:t xml:space="preserve">In words, every additional gram of paper corresponds to about</w:t>
      </w:r>
      <w:r>
        <w:t xml:space="preserve"> </w:t>
      </w:r>
      <w:r>
        <w:rPr>
          <w:b/>
          <w:bCs/>
        </w:rPr>
        <w:t xml:space="preserve">130.5 cm²</w:t>
      </w:r>
      <w:r>
        <w:t xml:space="preserve"> </w:t>
      </w:r>
      <w:r>
        <w:t xml:space="preserve">of area.</w:t>
      </w:r>
    </w:p>
    <w:tbl>
      <w:tblPr>
        <w:tblStyle w:val="Table"/>
        <w:tblInd w:w="164" w:type="dxa"/>
        <w:tblBorders>
          <w:left w:val="single" w:sz="24" w:space="0" w:color="0758E5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  <w:right w:w="144" w:type="dxa"/>
            </w:tcMar>
          </w:tcPr>
          <w:p>
            <w:pPr>
              <w:pStyle w:val="BodyText"/>
            </w:pPr>
            <w:pPr>
              <w:spacing w:before="0" w:after="8"/>
              <w:jc w:val="center"/>
            </w:pPr>
            <w:r>
              <w:drawing>
                <wp:inline>
                  <wp:extent cx="152400" cy="152400"/>
                  <wp:effectExtent b="0" l="0" r="0" t="0"/>
                  <wp:docPr descr="" title="" id="1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p>
            <w:pPr>
              <w:pStyle w:val="BodyText"/>
            </w:pPr>
            <w:pPr>
              <w:spacing w:before="16" w:after="64"/>
            </w:pPr>
          </w:p>
          <w:p>
            <w:pPr>
              <w:pStyle w:val="BodyText"/>
            </w:pPr>
            <w:pPr>
              <w:spacing w:before="16" w:after="16"/>
            </w:pPr>
            <w:r>
              <w:t xml:space="preserve">Notice that</w:t>
            </w:r>
            <w:r>
              <w:t xml:space="preserve"> </w:t>
            </w:r>
            <w:r>
              <w:rPr>
                <w:b/>
                <w:bCs/>
              </w:rPr>
              <w:t xml:space="preserve">F,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p</w:t>
            </w:r>
            <w:r>
              <w:rPr>
                <w:b/>
                <w:bCs/>
              </w:rPr>
              <w:t xml:space="preserve">, R², the slope, and the intercept above were never typed by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hand</w:t>
            </w:r>
            <w:r>
              <w:t xml:space="preserve"> </w:t>
            </w:r>
            <w:r>
              <w:t xml:space="preserve">— they are inserted with inline code like</w:t>
            </w:r>
            <w:r>
              <w:t xml:space="preserve"> </w:t>
            </w:r>
            <w:r>
              <w:rPr>
                <w:rStyle w:val="VerbatimChar"/>
              </w:rPr>
              <w:t xml:space="preserve">130.52</w:t>
            </w:r>
            <w:r>
              <w:t xml:space="preserve">.</w:t>
            </w:r>
            <w:r>
              <w:t xml:space="preserve"> </w:t>
            </w:r>
            <w:r>
              <w:t xml:space="preserve">Change the data file and re-render, and every one of these updates itself. That</w:t>
            </w:r>
            <w:r>
              <w:t xml:space="preserve"> </w:t>
            </w:r>
            <w:r>
              <w:t xml:space="preserve">is the difference from the</w:t>
            </w:r>
            <w:r>
              <w:t xml:space="preserve"> </w:t>
            </w:r>
            <w:r>
              <w:rPr>
                <w:rStyle w:val="VerbatimChar"/>
              </w:rPr>
              <w:t xml:space="preserve">.R</w:t>
            </w:r>
            <w:r>
              <w:t xml:space="preserve"> </w:t>
            </w:r>
            <w:r>
              <w:t xml:space="preserve">script, where you would copy each number into</w:t>
            </w:r>
            <w:r>
              <w:t xml:space="preserve"> </w:t>
            </w:r>
            <w:r>
              <w:t xml:space="preserve">Word yourself.</w:t>
            </w:r>
          </w:p>
        </w:tc>
      </w:tr>
    </w:tbl>
    <w:bookmarkStart w:id="17" w:name="the-calibration-curve"/>
    <w:p>
      <w:pPr>
        <w:pStyle w:val="Heading2"/>
      </w:pPr>
      <w:r>
        <w:t xml:space="preserve">3.1 The calibration curve</w:t>
      </w:r>
    </w:p>
    <w:p>
      <w:pPr>
        <w:pStyle w:val="CaptionedFigure"/>
      </w:pPr>
      <w:r>
        <w:drawing>
          <wp:inline>
            <wp:extent cx="5943600" cy="3962400"/>
            <wp:effectExtent b="0" l="0" r="0" t="0"/>
            <wp:docPr descr="Figure 1. Paper area vs. mass with the least-squares line and 95% confidence band." title="" id="15" name="Picture"/>
            <a:graphic>
              <a:graphicData uri="http://schemas.openxmlformats.org/drawingml/2006/picture">
                <pic:pic>
                  <pic:nvPicPr>
                    <pic:cNvPr descr="regression_analysis_report_files/figure-docx/calibration-plot-1.png" id="16" name="Picture"/>
                    <pic:cNvPicPr>
                      <a:picLocks noChangeArrowheads="1"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Figure 1. Paper area vs. mass with the least-squares line and 95% confidence band.</w:t>
      </w:r>
    </w:p>
    <w:bookmarkEnd w:id="17"/>
    <w:bookmarkStart w:id="21" w:name="assumption-checks"/>
    <w:p>
      <w:pPr>
        <w:pStyle w:val="Heading2"/>
      </w:pPr>
      <w:r>
        <w:t xml:space="preserve">3.2 Assumption checks</w:t>
      </w:r>
    </w:p>
    <w:p>
      <w:pPr>
        <w:pStyle w:val="CaptionedFigure"/>
      </w:pPr>
      <w:r>
        <w:drawing>
          <wp:inline>
            <wp:extent cx="5943600" cy="3962400"/>
            <wp:effectExtent b="0" l="0" r="0" t="0"/>
            <wp:docPr descr="Figure 2. Residuals vs. fitted values — a random band with no funnel or curve supports linearity and equal variance." title="" id="19" name="Picture"/>
            <a:graphic>
              <a:graphicData uri="http://schemas.openxmlformats.org/drawingml/2006/picture">
                <pic:pic>
                  <pic:nvPicPr>
                    <pic:cNvPr descr="regression_analysis_report_files/figure-docx/resid-plot-1.png" id="20" name="Picture"/>
                    <pic:cNvPicPr>
                      <a:picLocks noChangeArrowheads="1"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Figure 2. Residuals vs. fitted values — a random band with no funnel or curve supports linearity and equal variance.</w:t>
      </w:r>
    </w:p>
    <w:p>
      <w:pPr>
        <w:pStyle w:val="BodyText"/>
      </w:pPr>
      <w:r>
        <w:t xml:space="preserve">A Shapiro–Wilk test on the residuals gave W = 0.677,</w:t>
      </w:r>
      <w:r>
        <w:t xml:space="preserve"> </w:t>
      </w:r>
      <w:r>
        <w:rPr>
          <w:i/>
          <w:iCs/>
        </w:rPr>
        <w:t xml:space="preserve">p</w:t>
      </w:r>
      <w:r>
        <w:t xml:space="preserve"> </w:t>
      </w:r>
      <w:r>
        <w:t xml:space="preserve">= 9.4</w:t>
      </w:r>
      <w:r>
        <w:t xml:space="preserve">^{-15}.</w:t>
      </w:r>
    </w:p>
    <w:bookmarkEnd w:id="21"/>
    <w:bookmarkStart w:id="22" w:name="predicting-leaf-area"/>
    <w:p>
      <w:pPr>
        <w:pStyle w:val="Heading2"/>
      </w:pPr>
      <w:r>
        <w:t xml:space="preserve">3.3 Predicting leaf area</w:t>
      </w:r>
    </w:p>
    <w:p>
      <w:pPr>
        <w:pStyle w:val="FirstParagraph"/>
      </w:pPr>
      <w:r>
        <w:t xml:space="preserve">Applying the equation to two example tracings, a sunny-side tracing of</w:t>
      </w:r>
      <w:r>
        <w:t xml:space="preserve"> </w:t>
      </w:r>
      <w:r>
        <w:t xml:space="preserve">0.092 g predicts an area of</w:t>
      </w:r>
      <w:r>
        <w:t xml:space="preserve"> </w:t>
      </w:r>
      <w:r>
        <w:rPr>
          <w:b/>
          <w:bCs/>
        </w:rPr>
        <w:t xml:space="preserve">12.3 cm²</w:t>
      </w:r>
      <w:r>
        <w:t xml:space="preserve">, while a</w:t>
      </w:r>
      <w:r>
        <w:t xml:space="preserve"> </w:t>
      </w:r>
      <w:r>
        <w:t xml:space="preserve">heavier shady-side tracing of 0.138 g predicts</w:t>
      </w:r>
      <w:r>
        <w:t xml:space="preserve"> </w:t>
      </w:r>
      <w:r>
        <w:rPr>
          <w:b/>
          <w:bCs/>
        </w:rPr>
        <w:t xml:space="preserve">18.3 cm²</w:t>
      </w:r>
      <w:r>
        <w:t xml:space="preserve"> </w:t>
      </w:r>
      <w:r>
        <w:t xml:space="preserve">— consistent with our earlier finding that</w:t>
      </w:r>
      <w:r>
        <w:t xml:space="preserve"> </w:t>
      </w:r>
      <w:r>
        <w:t xml:space="preserve">shady leaves are larger.</w:t>
      </w:r>
    </w:p>
    <w:bookmarkEnd w:id="22"/>
    <w:bookmarkEnd w:id="23"/>
    <w:bookmarkStart w:id="24" w:name="discussion"/>
    <w:p>
      <w:pPr>
        <w:pStyle w:val="Heading1"/>
      </w:pPr>
      <w:r>
        <w:t xml:space="preserve">4. Discussion</w:t>
      </w:r>
    </w:p>
    <w:p>
      <w:pPr>
        <w:pStyle w:val="FirstParagraph"/>
      </w:pPr>
      <w:r>
        <w:rPr>
          <w:i/>
          <w:iCs/>
        </w:rPr>
        <w:t xml:space="preserve">Write one short paragraph here.</w:t>
      </w:r>
      <w:r>
        <w:t xml:space="preserve"> </w:t>
      </w:r>
      <w:r>
        <w:t xml:space="preserve">Did the calibration fit well (look at R² and</w:t>
      </w:r>
      <w:r>
        <w:t xml:space="preserve"> </w:t>
      </w:r>
      <w:r>
        <w:t xml:space="preserve">Figure 1)? Did the residual plot and Shapiro–Wilk support the assumptions? Why</w:t>
      </w:r>
      <w:r>
        <w:t xml:space="preserve"> </w:t>
      </w:r>
      <w:r>
        <w:t xml:space="preserve">is working in</w:t>
      </w:r>
      <w:r>
        <w:t xml:space="preserve"> </w:t>
      </w:r>
      <w:r>
        <w:rPr>
          <w:b/>
          <w:bCs/>
        </w:rPr>
        <w:t xml:space="preserve">area</w:t>
      </w:r>
      <w:r>
        <w:t xml:space="preserve"> </w:t>
      </w:r>
      <w:r>
        <w:t xml:space="preserve">(cm²) more biologically meaningful than raw</w:t>
      </w:r>
      <w:r>
        <w:t xml:space="preserve"> </w:t>
      </w:r>
      <w:r>
        <w:rPr>
          <w:b/>
          <w:bCs/>
        </w:rPr>
        <w:t xml:space="preserve">mass</w:t>
      </w:r>
      <w:r>
        <w:t xml:space="preserve"> </w:t>
      </w:r>
      <w:r>
        <w:t xml:space="preserve">(g)</w:t>
      </w:r>
      <w:r>
        <w:t xml:space="preserve"> </w:t>
      </w:r>
      <w:r>
        <w:t xml:space="preserve">when comparing sunny and shady leaves? This is where you paste the results</w:t>
      </w:r>
      <w:r>
        <w:t xml:space="preserve"> </w:t>
      </w:r>
      <w:r>
        <w:t xml:space="preserve">paragraph you drafted in the worksheet.</w:t>
      </w:r>
    </w:p>
    <w:bookmarkEnd w:id="24"/>
    <w:bookmarkStart w:id="26" w:name="references"/>
    <w:p>
      <w:pPr>
        <w:pStyle w:val="Heading1"/>
      </w:pPr>
      <w:r>
        <w:t xml:space="preserve">5. References</w:t>
      </w:r>
    </w:p>
    <w:p>
      <w:pPr>
        <w:pStyle w:val="Compact"/>
        <w:numPr>
          <w:ilvl w:val="0"/>
          <w:numId w:val="1002"/>
        </w:numPr>
      </w:pPr>
      <w:r>
        <w:t xml:space="preserve">Whitlock, M. &amp; Schluter, D.</w:t>
      </w:r>
      <w:r>
        <w:t xml:space="preserve"> </w:t>
      </w:r>
      <w:r>
        <w:rPr>
          <w:i/>
          <w:iCs/>
        </w:rPr>
        <w:t xml:space="preserve">The Analysis of Biological Data</w:t>
      </w:r>
      <w:r>
        <w:t xml:space="preserve"> </w:t>
      </w:r>
      <w:r>
        <w:t xml:space="preserve">(2nd ed.), Ch. 17.</w:t>
      </w:r>
    </w:p>
    <w:p>
      <w:pPr>
        <w:pStyle w:val="Compact"/>
        <w:numPr>
          <w:ilvl w:val="0"/>
          <w:numId w:val="1002"/>
        </w:numPr>
      </w:pPr>
      <w:r>
        <w:t xml:space="preserve">Wickham, H.</w:t>
      </w:r>
      <w:r>
        <w:t xml:space="preserve"> </w:t>
      </w:r>
      <w:r>
        <w:rPr>
          <w:i/>
          <w:iCs/>
        </w:rPr>
        <w:t xml:space="preserve">R for Data Science (2nd ed.)</w:t>
      </w:r>
      <w:r>
        <w:t xml:space="preserve"> </w:t>
      </w:r>
      <w:r>
        <w:t xml:space="preserve">—</w:t>
      </w:r>
      <w:r>
        <w:t xml:space="preserve"> </w:t>
      </w:r>
      <w:hyperlink r:id="rId25">
        <w:r>
          <w:rPr>
            <w:rStyle w:val="Hyperlink"/>
          </w:rPr>
          <w:t xml:space="preserve">https://r4ds.hadley.nz/</w:t>
        </w:r>
      </w:hyperlink>
    </w:p>
    <w:bookmarkEnd w:id="26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image" Id="rId14" Target="media/rId14.png" /><Relationship Type="http://schemas.openxmlformats.org/officeDocument/2006/relationships/image" Id="rId18" Target="media/rId18.png" /><Relationship Type="http://schemas.openxmlformats.org/officeDocument/2006/relationships/hyperlink" Id="rId25" Target="https://r4ds.hadley.nz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s://r4ds.hadley.nz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Calibration Curve: Predicting Leaf Area from Mass</dc:title>
  <dc:creator>Your Name Here</dc:creator>
  <cp:keywords/>
  <dcterms:created xsi:type="dcterms:W3CDTF">2026-07-06T00:31:31Z</dcterms:created>
  <dcterms:modified xsi:type="dcterms:W3CDTF">2026-07-06T00:31:31Z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2026-07-05</vt:lpwstr>
  </property>
  <property fmtid="{D5CDD505-2E9C-101B-9397-08002B2CF9AE}" pid="6" name="engines">
    <vt:lpwstr/>
  </property>
  <property fmtid="{D5CDD505-2E9C-101B-9397-08002B2CF9AE}" pid="7" name="execute">
    <vt:lpwstr/>
  </property>
  <property fmtid="{D5CDD505-2E9C-101B-9397-08002B2CF9AE}" pid="8" name="header-includes">
    <vt:lpwstr/>
  </property>
  <property fmtid="{D5CDD505-2E9C-101B-9397-08002B2CF9AE}" pid="9" name="include-after">
    <vt:lpwstr/>
  </property>
  <property fmtid="{D5CDD505-2E9C-101B-9397-08002B2CF9AE}" pid="10" name="include-before">
    <vt:lpwstr/>
  </property>
  <property fmtid="{D5CDD505-2E9C-101B-9397-08002B2CF9AE}" pid="11" name="labels">
    <vt:lpwstr/>
  </property>
  <property fmtid="{D5CDD505-2E9C-101B-9397-08002B2CF9AE}" pid="12" name="order">
    <vt:lpwstr>6</vt:lpwstr>
  </property>
  <property fmtid="{D5CDD505-2E9C-101B-9397-08002B2CF9AE}" pid="13" name="resources">
    <vt:lpwstr/>
  </property>
  <property fmtid="{D5CDD505-2E9C-101B-9397-08002B2CF9AE}" pid="14" name="subtitle">
    <vt:lpwstr>The same analysis as regression_analysis_script.R — but as a report</vt:lpwstr>
  </property>
  <property fmtid="{D5CDD505-2E9C-101B-9397-08002B2CF9AE}" pid="15" name="toc-title">
    <vt:lpwstr>Table of contents</vt:lpwstr>
  </property>
  <property fmtid="{D5CDD505-2E9C-101B-9397-08002B2CF9AE}" pid="16" name="week">
    <vt:lpwstr>3</vt:lpwstr>
  </property>
</Properties>
</file>